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2" w:type="dxa"/>
        <w:tblInd w:w="-34" w:type="dxa"/>
        <w:tblLayout w:type="fixed"/>
        <w:tblLook w:val="04A0" w:firstRow="1" w:lastRow="0" w:firstColumn="1" w:lastColumn="0" w:noHBand="0" w:noVBand="1"/>
      </w:tblPr>
      <w:tblGrid>
        <w:gridCol w:w="1985"/>
        <w:gridCol w:w="5204"/>
        <w:gridCol w:w="236"/>
        <w:gridCol w:w="2617"/>
      </w:tblGrid>
      <w:tr w:rsidR="004A1AF3" w:rsidRPr="00B55EC4" w14:paraId="54CF858A" w14:textId="77777777" w:rsidTr="00E4495B">
        <w:trPr>
          <w:trHeight w:val="350"/>
        </w:trPr>
        <w:tc>
          <w:tcPr>
            <w:tcW w:w="1985" w:type="dxa"/>
            <w:vMerge w:val="restart"/>
            <w:vAlign w:val="center"/>
          </w:tcPr>
          <w:p w14:paraId="1193439A" w14:textId="77777777" w:rsidR="004A1AF3" w:rsidRPr="00B55EC4" w:rsidRDefault="00F16026" w:rsidP="004A1AF3">
            <w:pPr>
              <w:spacing w:after="0" w:line="240" w:lineRule="auto"/>
              <w:rPr>
                <w:rFonts w:eastAsia="MS Mincho" w:cstheme="minorHAnsi"/>
                <w:b/>
                <w:bCs/>
                <w:lang w:val="en-US" w:eastAsia="en-GB"/>
              </w:rPr>
            </w:pPr>
            <w:r w:rsidRPr="00B55EC4">
              <w:rPr>
                <w:noProof/>
                <w:lang w:val="en-US"/>
              </w:rPr>
              <w:drawing>
                <wp:inline distT="0" distB="0" distL="0" distR="0" wp14:anchorId="377CFBBA" wp14:editId="50D1CCFC">
                  <wp:extent cx="1140737" cy="569853"/>
                  <wp:effectExtent l="0" t="0" r="2540" b="1905"/>
                  <wp:docPr id="1" name="Picture 1" descr="C:\Users\User.U-PC\Desktop\Eaco.png"/>
                  <wp:cNvGraphicFramePr/>
                  <a:graphic xmlns:a="http://schemas.openxmlformats.org/drawingml/2006/main">
                    <a:graphicData uri="http://schemas.openxmlformats.org/drawingml/2006/picture">
                      <pic:pic xmlns:pic="http://schemas.openxmlformats.org/drawingml/2006/picture">
                        <pic:nvPicPr>
                          <pic:cNvPr id="1" name="Picture 1" descr="C:\Users\User.U-PC\Desktop\Eaco.png"/>
                          <pic:cNvPicPr/>
                        </pic:nvPicPr>
                        <pic:blipFill rotWithShape="1">
                          <a:blip r:embed="rId7" cstate="print">
                            <a:extLst>
                              <a:ext uri="{28A0092B-C50C-407E-A947-70E740481C1C}">
                                <a14:useLocalDpi xmlns:a14="http://schemas.microsoft.com/office/drawing/2010/main" val="0"/>
                              </a:ext>
                            </a:extLst>
                          </a:blip>
                          <a:srcRect l="-1" r="58593" b="-928"/>
                          <a:stretch/>
                        </pic:blipFill>
                        <pic:spPr bwMode="auto">
                          <a:xfrm>
                            <a:off x="0" y="0"/>
                            <a:ext cx="1153753" cy="57635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4A1AF3" w:rsidRPr="00B55EC4">
              <w:rPr>
                <w:rFonts w:eastAsia="MS Mincho" w:cstheme="minorHAnsi"/>
                <w:noProof/>
                <w:lang w:val="en-US"/>
              </w:rPr>
              <mc:AlternateContent>
                <mc:Choice Requires="wps">
                  <w:drawing>
                    <wp:anchor distT="0" distB="0" distL="114300" distR="114300" simplePos="0" relativeHeight="251659264" behindDoc="0" locked="0" layoutInCell="1" allowOverlap="1" wp14:anchorId="1BB1C527" wp14:editId="0DE52856">
                      <wp:simplePos x="0" y="0"/>
                      <wp:positionH relativeFrom="column">
                        <wp:posOffset>-12065</wp:posOffset>
                      </wp:positionH>
                      <wp:positionV relativeFrom="paragraph">
                        <wp:posOffset>1372235</wp:posOffset>
                      </wp:positionV>
                      <wp:extent cx="6200775" cy="0"/>
                      <wp:effectExtent l="6985" t="10160" r="1206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FB72C" id="_x0000_t32" coordsize="21600,21600" o:spt="32" o:oned="t" path="m,l21600,21600e" filled="f">
                      <v:path arrowok="t" fillok="f" o:connecttype="none"/>
                      <o:lock v:ext="edit" shapetype="t"/>
                    </v:shapetype>
                    <v:shape id="Straight Arrow Connector 3" o:spid="_x0000_s1026" type="#_x0000_t32" style="position:absolute;margin-left:-.95pt;margin-top:108.05pt;width:4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">
                      <v:stroke dashstyle="1 1" endcap="round"/>
                    </v:shape>
                  </w:pict>
                </mc:Fallback>
              </mc:AlternateContent>
            </w:r>
          </w:p>
        </w:tc>
        <w:tc>
          <w:tcPr>
            <w:tcW w:w="5204" w:type="dxa"/>
            <w:vMerge w:val="restart"/>
            <w:vAlign w:val="center"/>
          </w:tcPr>
          <w:p w14:paraId="599532CD" w14:textId="77777777" w:rsidR="00F16026" w:rsidRPr="00B55EC4" w:rsidRDefault="00F16026" w:rsidP="00F16026">
            <w:pPr>
              <w:spacing w:after="200" w:line="276" w:lineRule="auto"/>
              <w:jc w:val="both"/>
              <w:rPr>
                <w:rFonts w:ascii="Calibri" w:eastAsia="MS Mincho" w:hAnsi="Calibri" w:cs="Calibri"/>
                <w:color w:val="000000"/>
                <w:lang w:eastAsia="en-GB"/>
              </w:rPr>
            </w:pPr>
          </w:p>
          <w:p w14:paraId="4BCAC3BB" w14:textId="77777777" w:rsidR="00F16026" w:rsidRPr="00B55EC4" w:rsidRDefault="00F83EDB" w:rsidP="00F83EDB">
            <w:pPr>
              <w:spacing w:after="200" w:line="276" w:lineRule="auto"/>
              <w:jc w:val="center"/>
              <w:rPr>
                <w:lang w:eastAsia="en-GB"/>
              </w:rPr>
            </w:pPr>
            <w:r w:rsidRPr="00B55EC4">
              <w:rPr>
                <w:rFonts w:ascii="Calibri" w:eastAsia="MS Mincho" w:hAnsi="Calibri" w:cs="Calibri"/>
                <w:b/>
                <w:bCs/>
                <w:color w:val="000000"/>
                <w:lang w:eastAsia="en-GB"/>
              </w:rPr>
              <w:t xml:space="preserve">Input Contribution to </w:t>
            </w:r>
            <w:r w:rsidR="004D27B9" w:rsidRPr="00B55EC4">
              <w:rPr>
                <w:rFonts w:ascii="Calibri" w:eastAsia="MS Mincho" w:hAnsi="Calibri" w:cs="Calibri"/>
                <w:b/>
                <w:bCs/>
                <w:color w:val="000000"/>
                <w:lang w:eastAsia="en-GB"/>
              </w:rPr>
              <w:t>EACO Meeting</w:t>
            </w:r>
            <w:r w:rsidR="004D27B9" w:rsidRPr="00B55EC4">
              <w:rPr>
                <w:rFonts w:ascii="Calibri" w:eastAsia="MS Mincho" w:hAnsi="Calibri" w:cs="Calibri"/>
                <w:bCs/>
                <w:color w:val="000000"/>
                <w:lang w:eastAsia="en-GB"/>
              </w:rPr>
              <w:t xml:space="preserve"> </w:t>
            </w:r>
          </w:p>
          <w:p w14:paraId="3CC3ADEE" w14:textId="77777777" w:rsidR="004A1AF3" w:rsidRPr="00B55EC4" w:rsidRDefault="00F83EDB" w:rsidP="00F83EDB">
            <w:pPr>
              <w:spacing w:after="200" w:line="276" w:lineRule="auto"/>
              <w:jc w:val="center"/>
              <w:rPr>
                <w:rFonts w:eastAsia="Times New Roman" w:cstheme="minorHAnsi"/>
                <w:lang w:val="en-US" w:eastAsia="en-GB"/>
              </w:rPr>
            </w:pPr>
            <w:r w:rsidRPr="00B55EC4">
              <w:rPr>
                <w:lang w:eastAsia="en-GB"/>
              </w:rPr>
              <w:t xml:space="preserve">Online, </w:t>
            </w:r>
            <w:r w:rsidR="004D27B9" w:rsidRPr="00B55EC4">
              <w:rPr>
                <w:lang w:eastAsia="en-GB"/>
              </w:rPr>
              <w:t>17</w:t>
            </w:r>
            <w:r w:rsidRPr="00B55EC4">
              <w:rPr>
                <w:lang w:eastAsia="en-GB"/>
              </w:rPr>
              <w:t xml:space="preserve"> - </w:t>
            </w:r>
            <w:r w:rsidR="004D27B9" w:rsidRPr="00B55EC4">
              <w:rPr>
                <w:lang w:eastAsia="en-GB"/>
              </w:rPr>
              <w:t>19</w:t>
            </w:r>
            <w:r w:rsidRPr="00B55EC4">
              <w:rPr>
                <w:lang w:eastAsia="en-GB"/>
              </w:rPr>
              <w:t xml:space="preserve"> </w:t>
            </w:r>
            <w:r w:rsidR="004D27B9" w:rsidRPr="00B55EC4">
              <w:rPr>
                <w:lang w:eastAsia="en-GB"/>
              </w:rPr>
              <w:t>August</w:t>
            </w:r>
            <w:r w:rsidRPr="00B55EC4">
              <w:rPr>
                <w:lang w:eastAsia="en-GB"/>
              </w:rPr>
              <w:t xml:space="preserve"> 2021</w:t>
            </w:r>
          </w:p>
        </w:tc>
        <w:tc>
          <w:tcPr>
            <w:tcW w:w="236" w:type="dxa"/>
            <w:vAlign w:val="center"/>
          </w:tcPr>
          <w:p w14:paraId="39F46ADD" w14:textId="77777777" w:rsidR="004A1AF3" w:rsidRPr="00B55EC4" w:rsidRDefault="004A1AF3" w:rsidP="004A1AF3">
            <w:pPr>
              <w:spacing w:after="200" w:line="276" w:lineRule="auto"/>
              <w:jc w:val="right"/>
              <w:rPr>
                <w:rFonts w:eastAsia="Times New Roman" w:cstheme="minorHAnsi"/>
                <w:lang w:val="en-US"/>
              </w:rPr>
            </w:pPr>
          </w:p>
        </w:tc>
        <w:tc>
          <w:tcPr>
            <w:tcW w:w="2617" w:type="dxa"/>
            <w:vAlign w:val="center"/>
          </w:tcPr>
          <w:p w14:paraId="70B46D3C" w14:textId="77777777" w:rsidR="004A1AF3" w:rsidRPr="00B55EC4" w:rsidRDefault="004A1AF3" w:rsidP="004A1AF3">
            <w:pPr>
              <w:spacing w:after="200" w:line="276" w:lineRule="auto"/>
              <w:rPr>
                <w:rFonts w:eastAsia="Times New Roman" w:cstheme="minorHAnsi"/>
                <w:lang w:val="en-US"/>
              </w:rPr>
            </w:pPr>
          </w:p>
        </w:tc>
      </w:tr>
      <w:tr w:rsidR="004A1AF3" w:rsidRPr="00B55EC4" w14:paraId="1EA0697D" w14:textId="77777777" w:rsidTr="00E4495B">
        <w:trPr>
          <w:trHeight w:val="323"/>
        </w:trPr>
        <w:tc>
          <w:tcPr>
            <w:tcW w:w="1985" w:type="dxa"/>
            <w:vMerge/>
            <w:vAlign w:val="center"/>
          </w:tcPr>
          <w:p w14:paraId="3842EAF5" w14:textId="77777777" w:rsidR="004A1AF3" w:rsidRPr="00B55EC4" w:rsidRDefault="004A1AF3" w:rsidP="004A1AF3">
            <w:pPr>
              <w:spacing w:after="0" w:line="240" w:lineRule="auto"/>
              <w:jc w:val="center"/>
              <w:rPr>
                <w:rFonts w:eastAsia="MS Mincho" w:cstheme="minorHAnsi"/>
                <w:b/>
                <w:noProof/>
                <w:lang w:val="en-US" w:eastAsia="en-GB"/>
              </w:rPr>
            </w:pPr>
          </w:p>
        </w:tc>
        <w:tc>
          <w:tcPr>
            <w:tcW w:w="5204" w:type="dxa"/>
            <w:vMerge/>
            <w:vAlign w:val="center"/>
          </w:tcPr>
          <w:p w14:paraId="7A3C7B16" w14:textId="77777777" w:rsidR="004A1AF3" w:rsidRPr="00B55EC4" w:rsidRDefault="004A1AF3" w:rsidP="004A1AF3">
            <w:pPr>
              <w:spacing w:after="0" w:line="240" w:lineRule="auto"/>
              <w:jc w:val="center"/>
              <w:rPr>
                <w:rFonts w:eastAsia="MS Mincho" w:cstheme="minorHAnsi"/>
                <w:b/>
                <w:noProof/>
                <w:lang w:val="en-US" w:eastAsia="en-GB"/>
              </w:rPr>
            </w:pPr>
          </w:p>
        </w:tc>
        <w:tc>
          <w:tcPr>
            <w:tcW w:w="236" w:type="dxa"/>
            <w:vAlign w:val="center"/>
          </w:tcPr>
          <w:p w14:paraId="7D4B0322" w14:textId="77777777" w:rsidR="004A1AF3" w:rsidRPr="00B55EC4" w:rsidRDefault="004A1AF3" w:rsidP="004A1AF3">
            <w:pPr>
              <w:spacing w:after="200" w:line="276" w:lineRule="auto"/>
              <w:jc w:val="right"/>
              <w:rPr>
                <w:rFonts w:eastAsia="Times New Roman" w:cstheme="minorHAnsi"/>
                <w:lang w:val="en-US"/>
              </w:rPr>
            </w:pPr>
          </w:p>
        </w:tc>
        <w:tc>
          <w:tcPr>
            <w:tcW w:w="2617" w:type="dxa"/>
            <w:vAlign w:val="center"/>
          </w:tcPr>
          <w:p w14:paraId="41C43134" w14:textId="77777777" w:rsidR="004A1AF3" w:rsidRPr="00B55EC4" w:rsidRDefault="004A1AF3" w:rsidP="004A1AF3">
            <w:pPr>
              <w:spacing w:after="200" w:line="276" w:lineRule="auto"/>
              <w:rPr>
                <w:rFonts w:eastAsia="Times New Roman" w:cstheme="minorHAnsi"/>
                <w:b/>
                <w:lang w:val="pt-PT"/>
              </w:rPr>
            </w:pPr>
            <w:r w:rsidRPr="00B55EC4">
              <w:rPr>
                <w:rFonts w:eastAsia="Times New Roman" w:cstheme="minorHAnsi"/>
                <w:b/>
                <w:lang w:val="pt-PT"/>
              </w:rPr>
              <w:t xml:space="preserve">Input Contribution </w:t>
            </w:r>
            <w:r w:rsidR="00F16026" w:rsidRPr="00B55EC4">
              <w:rPr>
                <w:rFonts w:eastAsia="Times New Roman" w:cstheme="minorHAnsi"/>
                <w:b/>
                <w:highlight w:val="yellow"/>
                <w:lang w:val="pt-PT"/>
              </w:rPr>
              <w:t>XX</w:t>
            </w:r>
          </w:p>
        </w:tc>
      </w:tr>
      <w:tr w:rsidR="004A1AF3" w:rsidRPr="00B55EC4" w14:paraId="37999329" w14:textId="77777777" w:rsidTr="00E4495B">
        <w:trPr>
          <w:trHeight w:val="377"/>
        </w:trPr>
        <w:tc>
          <w:tcPr>
            <w:tcW w:w="1985" w:type="dxa"/>
            <w:vMerge/>
            <w:vAlign w:val="center"/>
          </w:tcPr>
          <w:p w14:paraId="0AFBB2D6" w14:textId="77777777" w:rsidR="004A1AF3" w:rsidRPr="00B55EC4" w:rsidRDefault="004A1AF3" w:rsidP="004A1AF3">
            <w:pPr>
              <w:spacing w:after="0" w:line="240" w:lineRule="auto"/>
              <w:jc w:val="center"/>
              <w:rPr>
                <w:rFonts w:eastAsia="MS Mincho" w:cstheme="minorHAnsi"/>
                <w:b/>
                <w:noProof/>
                <w:lang w:val="en-US" w:eastAsia="en-GB"/>
              </w:rPr>
            </w:pPr>
          </w:p>
        </w:tc>
        <w:tc>
          <w:tcPr>
            <w:tcW w:w="5204" w:type="dxa"/>
            <w:vMerge/>
            <w:vAlign w:val="center"/>
          </w:tcPr>
          <w:p w14:paraId="750867B9" w14:textId="77777777" w:rsidR="004A1AF3" w:rsidRPr="00B55EC4" w:rsidRDefault="004A1AF3" w:rsidP="004A1AF3">
            <w:pPr>
              <w:spacing w:after="0" w:line="240" w:lineRule="auto"/>
              <w:jc w:val="center"/>
              <w:rPr>
                <w:rFonts w:eastAsia="MS Mincho" w:cstheme="minorHAnsi"/>
                <w:b/>
                <w:noProof/>
                <w:lang w:val="en-US" w:eastAsia="en-GB"/>
              </w:rPr>
            </w:pPr>
          </w:p>
        </w:tc>
        <w:tc>
          <w:tcPr>
            <w:tcW w:w="236" w:type="dxa"/>
            <w:vAlign w:val="center"/>
          </w:tcPr>
          <w:p w14:paraId="5E8015F2" w14:textId="77777777" w:rsidR="004A1AF3" w:rsidRPr="00B55EC4" w:rsidRDefault="004A1AF3" w:rsidP="004A1AF3">
            <w:pPr>
              <w:spacing w:after="200" w:line="276" w:lineRule="auto"/>
              <w:jc w:val="right"/>
              <w:rPr>
                <w:rFonts w:eastAsia="Times New Roman" w:cstheme="minorHAnsi"/>
                <w:lang w:val="en-US"/>
              </w:rPr>
            </w:pPr>
          </w:p>
        </w:tc>
        <w:tc>
          <w:tcPr>
            <w:tcW w:w="2617" w:type="dxa"/>
            <w:vAlign w:val="center"/>
          </w:tcPr>
          <w:p w14:paraId="72D6DAEC" w14:textId="78B63273" w:rsidR="004A1AF3" w:rsidRPr="00B55EC4" w:rsidRDefault="00A74CEF" w:rsidP="004A1AF3">
            <w:pPr>
              <w:spacing w:after="200" w:line="276" w:lineRule="auto"/>
              <w:rPr>
                <w:rFonts w:eastAsia="Times New Roman" w:cstheme="minorHAnsi"/>
                <w:b/>
                <w:lang w:val="pt-PT"/>
              </w:rPr>
            </w:pPr>
            <w:r w:rsidRPr="00B55EC4">
              <w:rPr>
                <w:rFonts w:eastAsia="Times New Roman" w:cstheme="minorHAnsi"/>
                <w:b/>
                <w:lang w:val="pt-PT"/>
              </w:rPr>
              <w:t>10</w:t>
            </w:r>
            <w:r w:rsidR="00F83EDB" w:rsidRPr="00B55EC4">
              <w:rPr>
                <w:rFonts w:eastAsia="Times New Roman" w:cstheme="minorHAnsi"/>
                <w:b/>
                <w:lang w:val="pt-PT"/>
              </w:rPr>
              <w:t>-</w:t>
            </w:r>
            <w:r w:rsidR="004D27B9" w:rsidRPr="00B55EC4">
              <w:rPr>
                <w:rFonts w:eastAsia="Times New Roman" w:cstheme="minorHAnsi"/>
                <w:b/>
                <w:lang w:val="pt-PT"/>
              </w:rPr>
              <w:t xml:space="preserve">August </w:t>
            </w:r>
            <w:r w:rsidR="004A1AF3" w:rsidRPr="00B55EC4">
              <w:rPr>
                <w:rFonts w:eastAsia="Times New Roman" w:cstheme="minorHAnsi"/>
                <w:b/>
                <w:lang w:val="pt-PT"/>
              </w:rPr>
              <w:t>-2021</w:t>
            </w:r>
          </w:p>
        </w:tc>
      </w:tr>
      <w:tr w:rsidR="004A1AF3" w:rsidRPr="00B55EC4" w14:paraId="17CC41C8" w14:textId="77777777" w:rsidTr="00E4495B">
        <w:trPr>
          <w:trHeight w:val="350"/>
        </w:trPr>
        <w:tc>
          <w:tcPr>
            <w:tcW w:w="1985" w:type="dxa"/>
            <w:vMerge/>
            <w:vAlign w:val="center"/>
          </w:tcPr>
          <w:p w14:paraId="19AF5673" w14:textId="77777777" w:rsidR="004A1AF3" w:rsidRPr="00B55EC4" w:rsidRDefault="004A1AF3" w:rsidP="004A1AF3">
            <w:pPr>
              <w:spacing w:after="0" w:line="240" w:lineRule="auto"/>
              <w:jc w:val="center"/>
              <w:rPr>
                <w:rFonts w:eastAsia="MS Mincho" w:cstheme="minorHAnsi"/>
                <w:b/>
                <w:noProof/>
                <w:lang w:val="en-US" w:eastAsia="en-GB"/>
              </w:rPr>
            </w:pPr>
          </w:p>
        </w:tc>
        <w:tc>
          <w:tcPr>
            <w:tcW w:w="5204" w:type="dxa"/>
            <w:vMerge/>
            <w:vAlign w:val="center"/>
          </w:tcPr>
          <w:p w14:paraId="76944959" w14:textId="77777777" w:rsidR="004A1AF3" w:rsidRPr="00B55EC4" w:rsidRDefault="004A1AF3" w:rsidP="004A1AF3">
            <w:pPr>
              <w:spacing w:after="0" w:line="240" w:lineRule="auto"/>
              <w:jc w:val="center"/>
              <w:rPr>
                <w:rFonts w:eastAsia="MS Mincho" w:cstheme="minorHAnsi"/>
                <w:b/>
                <w:noProof/>
                <w:lang w:val="en-US" w:eastAsia="en-GB"/>
              </w:rPr>
            </w:pPr>
          </w:p>
        </w:tc>
        <w:tc>
          <w:tcPr>
            <w:tcW w:w="236" w:type="dxa"/>
            <w:vAlign w:val="center"/>
          </w:tcPr>
          <w:p w14:paraId="31CED7CA" w14:textId="77777777" w:rsidR="004A1AF3" w:rsidRPr="00B55EC4" w:rsidRDefault="004A1AF3" w:rsidP="004A1AF3">
            <w:pPr>
              <w:spacing w:after="200" w:line="276" w:lineRule="auto"/>
              <w:jc w:val="right"/>
              <w:rPr>
                <w:rFonts w:eastAsia="Times New Roman" w:cstheme="minorHAnsi"/>
                <w:lang w:val="en-US"/>
              </w:rPr>
            </w:pPr>
          </w:p>
        </w:tc>
        <w:tc>
          <w:tcPr>
            <w:tcW w:w="2617" w:type="dxa"/>
            <w:vAlign w:val="center"/>
          </w:tcPr>
          <w:p w14:paraId="67392EFB" w14:textId="77777777" w:rsidR="004A1AF3" w:rsidRPr="00B55EC4" w:rsidRDefault="004A1AF3" w:rsidP="004A1AF3">
            <w:pPr>
              <w:spacing w:after="200" w:line="276" w:lineRule="auto"/>
              <w:rPr>
                <w:rFonts w:eastAsia="Times New Roman" w:cstheme="minorHAnsi"/>
                <w:b/>
                <w:lang w:val="pt-PT"/>
              </w:rPr>
            </w:pPr>
          </w:p>
        </w:tc>
      </w:tr>
      <w:tr w:rsidR="004A1AF3" w:rsidRPr="00B55EC4" w14:paraId="4D2C70A5" w14:textId="77777777" w:rsidTr="00E4495B">
        <w:trPr>
          <w:trHeight w:val="305"/>
        </w:trPr>
        <w:tc>
          <w:tcPr>
            <w:tcW w:w="1985" w:type="dxa"/>
            <w:vMerge/>
            <w:vAlign w:val="center"/>
          </w:tcPr>
          <w:p w14:paraId="12044D08" w14:textId="77777777" w:rsidR="004A1AF3" w:rsidRPr="00B55EC4" w:rsidRDefault="004A1AF3" w:rsidP="004A1AF3">
            <w:pPr>
              <w:spacing w:after="0" w:line="240" w:lineRule="auto"/>
              <w:jc w:val="center"/>
              <w:rPr>
                <w:rFonts w:eastAsia="MS Mincho" w:cstheme="minorHAnsi"/>
                <w:b/>
                <w:noProof/>
                <w:lang w:val="en-US" w:eastAsia="en-GB"/>
              </w:rPr>
            </w:pPr>
          </w:p>
        </w:tc>
        <w:tc>
          <w:tcPr>
            <w:tcW w:w="5204" w:type="dxa"/>
            <w:vMerge/>
            <w:vAlign w:val="center"/>
          </w:tcPr>
          <w:p w14:paraId="4A0BE84C" w14:textId="77777777" w:rsidR="004A1AF3" w:rsidRPr="00B55EC4" w:rsidRDefault="004A1AF3" w:rsidP="004A1AF3">
            <w:pPr>
              <w:spacing w:after="0" w:line="240" w:lineRule="auto"/>
              <w:jc w:val="center"/>
              <w:rPr>
                <w:rFonts w:eastAsia="MS Mincho" w:cstheme="minorHAnsi"/>
                <w:b/>
                <w:noProof/>
                <w:lang w:val="en-US" w:eastAsia="en-GB"/>
              </w:rPr>
            </w:pPr>
          </w:p>
        </w:tc>
        <w:tc>
          <w:tcPr>
            <w:tcW w:w="236" w:type="dxa"/>
            <w:vAlign w:val="center"/>
          </w:tcPr>
          <w:p w14:paraId="45DB94E2" w14:textId="77777777" w:rsidR="004A1AF3" w:rsidRPr="00B55EC4" w:rsidRDefault="004A1AF3" w:rsidP="004A1AF3">
            <w:pPr>
              <w:spacing w:after="200" w:line="276" w:lineRule="auto"/>
              <w:jc w:val="right"/>
              <w:rPr>
                <w:rFonts w:eastAsia="Times New Roman" w:cstheme="minorHAnsi"/>
                <w:lang w:val="en-US"/>
              </w:rPr>
            </w:pPr>
          </w:p>
        </w:tc>
        <w:tc>
          <w:tcPr>
            <w:tcW w:w="2617" w:type="dxa"/>
            <w:vAlign w:val="center"/>
          </w:tcPr>
          <w:p w14:paraId="13EB83D0" w14:textId="77777777" w:rsidR="004A1AF3" w:rsidRPr="00B55EC4" w:rsidRDefault="004A1AF3" w:rsidP="004A1AF3">
            <w:pPr>
              <w:spacing w:after="200" w:line="276" w:lineRule="auto"/>
              <w:rPr>
                <w:rFonts w:eastAsia="Times New Roman" w:cstheme="minorHAnsi"/>
                <w:b/>
                <w:lang w:val="pt-PT"/>
              </w:rPr>
            </w:pPr>
          </w:p>
        </w:tc>
      </w:tr>
      <w:tr w:rsidR="004A1AF3" w:rsidRPr="00B55EC4" w14:paraId="5E22204B" w14:textId="77777777" w:rsidTr="00E4495B">
        <w:tc>
          <w:tcPr>
            <w:tcW w:w="10042" w:type="dxa"/>
            <w:gridSpan w:val="4"/>
          </w:tcPr>
          <w:tbl>
            <w:tblPr>
              <w:tblW w:w="9781" w:type="dxa"/>
              <w:tblLayout w:type="fixed"/>
              <w:tblLook w:val="04A0" w:firstRow="1" w:lastRow="0" w:firstColumn="1" w:lastColumn="0" w:noHBand="0" w:noVBand="1"/>
            </w:tblPr>
            <w:tblGrid>
              <w:gridCol w:w="9781"/>
            </w:tblGrid>
            <w:tr w:rsidR="004A1AF3" w:rsidRPr="00B55EC4" w14:paraId="008AD49A" w14:textId="77777777" w:rsidTr="00E4495B">
              <w:tc>
                <w:tcPr>
                  <w:tcW w:w="9781" w:type="dxa"/>
                  <w:tcBorders>
                    <w:top w:val="nil"/>
                    <w:left w:val="nil"/>
                    <w:bottom w:val="nil"/>
                    <w:right w:val="nil"/>
                  </w:tcBorders>
                </w:tcPr>
                <w:p w14:paraId="3CEA389E" w14:textId="77777777" w:rsidR="004A1AF3" w:rsidRPr="00B55EC4" w:rsidRDefault="004A1AF3" w:rsidP="00E4495B">
                  <w:pPr>
                    <w:spacing w:after="200" w:line="276" w:lineRule="auto"/>
                    <w:jc w:val="center"/>
                    <w:rPr>
                      <w:rFonts w:eastAsia="Times New Roman" w:cstheme="minorHAnsi"/>
                      <w:b/>
                    </w:rPr>
                  </w:pPr>
                  <w:r w:rsidRPr="00B55EC4">
                    <w:rPr>
                      <w:rFonts w:eastAsia="Times New Roman" w:cstheme="minorHAnsi"/>
                      <w:noProof/>
                      <w:lang w:val="en-US"/>
                    </w:rPr>
                    <mc:AlternateContent>
                      <mc:Choice Requires="wps">
                        <w:drawing>
                          <wp:anchor distT="0" distB="0" distL="114300" distR="114300" simplePos="0" relativeHeight="251660288" behindDoc="0" locked="0" layoutInCell="1" allowOverlap="1" wp14:anchorId="2B492371" wp14:editId="2FE1625F">
                            <wp:simplePos x="0" y="0"/>
                            <wp:positionH relativeFrom="column">
                              <wp:posOffset>-132715</wp:posOffset>
                            </wp:positionH>
                            <wp:positionV relativeFrom="paragraph">
                              <wp:posOffset>254000</wp:posOffset>
                            </wp:positionV>
                            <wp:extent cx="6200775" cy="0"/>
                            <wp:effectExtent l="10160" t="6350" r="8890"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cap="rnd">
                                      <a:solidFill>
                                        <a:srgbClr val="00000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29365" id="Straight Arrow Connector 2" o:spid="_x0000_s1026" type="#_x0000_t32" style="position:absolute;margin-left:-10.45pt;margin-top:20pt;width:4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">
                            <v:stroke dashstyle="1 1" endcap="round"/>
                          </v:shape>
                        </w:pict>
                      </mc:Fallback>
                    </mc:AlternateContent>
                  </w:r>
                  <w:r w:rsidR="003C1FC9" w:rsidRPr="00B55EC4">
                    <w:rPr>
                      <w:rFonts w:eastAsia="Times New Roman" w:cstheme="minorHAnsi"/>
                      <w:b/>
                    </w:rPr>
                    <w:t>EACO</w:t>
                  </w:r>
                </w:p>
              </w:tc>
            </w:tr>
          </w:tbl>
          <w:p w14:paraId="690ACB32" w14:textId="77777777" w:rsidR="004A1AF3" w:rsidRPr="00B55EC4" w:rsidRDefault="004A1AF3" w:rsidP="004A1AF3">
            <w:pPr>
              <w:spacing w:after="200" w:line="276" w:lineRule="auto"/>
              <w:jc w:val="center"/>
              <w:rPr>
                <w:rFonts w:eastAsia="Times New Roman" w:cstheme="minorHAnsi"/>
                <w:b/>
                <w:lang w:val="en-US"/>
              </w:rPr>
            </w:pPr>
          </w:p>
        </w:tc>
      </w:tr>
    </w:tbl>
    <w:p w14:paraId="5E3DCE76" w14:textId="77777777" w:rsidR="004A1AF3" w:rsidRPr="00B55EC4" w:rsidRDefault="004A1AF3" w:rsidP="00AA4E08">
      <w:pPr>
        <w:spacing w:after="200" w:line="276" w:lineRule="auto"/>
        <w:jc w:val="center"/>
        <w:rPr>
          <w:rFonts w:eastAsia="Times New Roman" w:cstheme="minorHAnsi"/>
          <w:b/>
        </w:rPr>
      </w:pPr>
      <w:r w:rsidRPr="00B55EC4">
        <w:rPr>
          <w:rFonts w:eastAsia="Times New Roman" w:cstheme="minorHAnsi"/>
          <w:b/>
        </w:rPr>
        <w:t>Agenda Item 1.2</w:t>
      </w:r>
      <w:r w:rsidR="00D64202" w:rsidRPr="00B55EC4">
        <w:rPr>
          <w:rFonts w:eastAsia="Times New Roman" w:cstheme="minorHAnsi"/>
          <w:b/>
        </w:rPr>
        <w:t xml:space="preserve"> </w:t>
      </w:r>
      <w:r w:rsidRPr="00B55EC4">
        <w:rPr>
          <w:rFonts w:eastAsia="Times New Roman" w:cstheme="minorHAnsi"/>
          <w:b/>
        </w:rPr>
        <w:t>(IMT mid-band)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A1AF3" w:rsidRPr="00B55EC4" w14:paraId="51AF9909" w14:textId="77777777" w:rsidTr="00E4495B">
        <w:tc>
          <w:tcPr>
            <w:tcW w:w="9576" w:type="dxa"/>
          </w:tcPr>
          <w:p w14:paraId="04267051" w14:textId="77777777" w:rsidR="004A1AF3" w:rsidRPr="00B55EC4" w:rsidRDefault="004A1AF3" w:rsidP="004A1AF3">
            <w:pPr>
              <w:spacing w:after="0" w:line="240" w:lineRule="auto"/>
              <w:rPr>
                <w:rFonts w:eastAsia="Times New Roman" w:cstheme="minorHAnsi"/>
                <w:b/>
                <w:i/>
                <w:color w:val="00B050"/>
                <w:spacing w:val="60"/>
                <w:lang w:val="en-US"/>
              </w:rPr>
            </w:pPr>
            <w:r w:rsidRPr="00B55EC4">
              <w:rPr>
                <w:rFonts w:eastAsia="Times New Roman" w:cstheme="minorHAnsi"/>
                <w:b/>
                <w:i/>
                <w:color w:val="00B050"/>
                <w:spacing w:val="60"/>
                <w:lang w:val="en-US"/>
              </w:rPr>
              <w:t>Part A: Description</w:t>
            </w:r>
          </w:p>
        </w:tc>
      </w:tr>
      <w:tr w:rsidR="004A1AF3" w:rsidRPr="00B55EC4" w14:paraId="3288272F" w14:textId="77777777" w:rsidTr="00E4495B">
        <w:trPr>
          <w:trHeight w:val="647"/>
        </w:trPr>
        <w:tc>
          <w:tcPr>
            <w:tcW w:w="9576" w:type="dxa"/>
          </w:tcPr>
          <w:p w14:paraId="588EBE4B" w14:textId="77777777" w:rsidR="004A1AF3" w:rsidRPr="00B55EC4" w:rsidRDefault="004A1AF3" w:rsidP="004A1AF3">
            <w:pPr>
              <w:autoSpaceDE w:val="0"/>
              <w:autoSpaceDN w:val="0"/>
              <w:adjustRightInd w:val="0"/>
              <w:jc w:val="both"/>
              <w:rPr>
                <w:rFonts w:cstheme="minorHAnsi"/>
              </w:rPr>
            </w:pPr>
            <w:r w:rsidRPr="00B55EC4">
              <w:rPr>
                <w:rFonts w:cstheme="minorHAnsi"/>
              </w:rPr>
              <w:t xml:space="preserve">to consider identification of the frequency bands 3 300-3 400 MHz, 3 600-3 800 MHz, 6 425-7 025 MHz, 7 025-7 125 MHz and 10.0-10.5 GHz for International Mobile Telecommunications (IMT), including possible additional allocations to the mobile service on a primary basis, in accordance with Resolution </w:t>
            </w:r>
            <w:r w:rsidRPr="00B55EC4">
              <w:rPr>
                <w:rFonts w:cstheme="minorHAnsi"/>
                <w:b/>
                <w:bCs/>
              </w:rPr>
              <w:t>245 (WRC-19)</w:t>
            </w:r>
            <w:r w:rsidRPr="00B55EC4">
              <w:rPr>
                <w:rFonts w:cstheme="minorHAnsi"/>
              </w:rPr>
              <w:t>;</w:t>
            </w:r>
          </w:p>
          <w:p w14:paraId="77271CC8" w14:textId="77777777" w:rsidR="004A1AF3" w:rsidRPr="00B55EC4" w:rsidRDefault="00AA2F1A" w:rsidP="00AA2F1A">
            <w:pPr>
              <w:autoSpaceDE w:val="0"/>
              <w:autoSpaceDN w:val="0"/>
              <w:adjustRightInd w:val="0"/>
              <w:jc w:val="both"/>
              <w:rPr>
                <w:rFonts w:eastAsia="Times New Roman" w:cstheme="minorHAnsi"/>
                <w:lang w:val="en-US"/>
              </w:rPr>
            </w:pPr>
            <w:r w:rsidRPr="00B55EC4">
              <w:rPr>
                <w:rFonts w:cstheme="minorHAnsi"/>
              </w:rPr>
              <w:t xml:space="preserve">Resolution </w:t>
            </w:r>
            <w:r w:rsidRPr="00B55EC4">
              <w:rPr>
                <w:rFonts w:cstheme="minorHAnsi"/>
                <w:b/>
              </w:rPr>
              <w:t>245 (WRC 19)</w:t>
            </w:r>
            <w:r w:rsidRPr="00B55EC4">
              <w:rPr>
                <w:rFonts w:cstheme="minorHAnsi"/>
              </w:rPr>
              <w:t xml:space="preserve"> – Studies on frequency-related matters for the terrestrial component of international mobile telecommunications identification in the frequency bands 3 300-3 400 MHz, 3 600-3 800 MHz, 6 425-7 025 MHz, 7 025-7 125 MHz, and 10.0-10.5 GHz</w:t>
            </w:r>
          </w:p>
        </w:tc>
      </w:tr>
      <w:tr w:rsidR="004A1AF3" w:rsidRPr="00B55EC4" w14:paraId="2CA07BF6" w14:textId="77777777" w:rsidTr="00E4495B">
        <w:tc>
          <w:tcPr>
            <w:tcW w:w="9576" w:type="dxa"/>
          </w:tcPr>
          <w:p w14:paraId="2C53F9BC" w14:textId="77777777" w:rsidR="004A1AF3" w:rsidRPr="00B55EC4" w:rsidRDefault="004A1AF3" w:rsidP="004A1AF3">
            <w:pPr>
              <w:spacing w:after="0" w:line="240" w:lineRule="auto"/>
              <w:rPr>
                <w:rFonts w:eastAsia="Times New Roman" w:cstheme="minorHAnsi"/>
                <w:b/>
                <w:i/>
                <w:color w:val="00B050"/>
                <w:spacing w:val="60"/>
                <w:lang w:val="en-US"/>
              </w:rPr>
            </w:pPr>
            <w:r w:rsidRPr="00B55EC4">
              <w:rPr>
                <w:rFonts w:eastAsia="Times New Roman" w:cstheme="minorHAnsi"/>
                <w:b/>
                <w:i/>
                <w:color w:val="00B050"/>
                <w:spacing w:val="60"/>
                <w:lang w:val="en-US"/>
              </w:rPr>
              <w:t>Part B: Key Elements – the notables</w:t>
            </w:r>
          </w:p>
        </w:tc>
      </w:tr>
      <w:tr w:rsidR="004A1AF3" w:rsidRPr="00B55EC4" w14:paraId="06A2650E" w14:textId="77777777" w:rsidTr="00E4495B">
        <w:trPr>
          <w:trHeight w:val="638"/>
        </w:trPr>
        <w:tc>
          <w:tcPr>
            <w:tcW w:w="9576" w:type="dxa"/>
          </w:tcPr>
          <w:p w14:paraId="23C05DF7" w14:textId="77777777" w:rsidR="004A1AF3" w:rsidRPr="00B55EC4" w:rsidRDefault="004A1AF3" w:rsidP="004A1AF3">
            <w:pPr>
              <w:spacing w:after="0"/>
              <w:jc w:val="both"/>
              <w:rPr>
                <w:rFonts w:cstheme="minorHAnsi"/>
                <w:b/>
                <w:bCs/>
              </w:rPr>
            </w:pPr>
            <w:r w:rsidRPr="00B55EC4">
              <w:rPr>
                <w:rFonts w:cstheme="minorHAnsi"/>
                <w:b/>
                <w:bCs/>
              </w:rPr>
              <w:t>Background</w:t>
            </w:r>
          </w:p>
          <w:p w14:paraId="25E19F27" w14:textId="77777777" w:rsidR="00AA2F1A" w:rsidRPr="00B55EC4" w:rsidRDefault="00AA2F1A" w:rsidP="00AA2F1A">
            <w:pPr>
              <w:autoSpaceDE w:val="0"/>
              <w:autoSpaceDN w:val="0"/>
              <w:adjustRightInd w:val="0"/>
              <w:jc w:val="both"/>
              <w:rPr>
                <w:rFonts w:cstheme="minorHAnsi"/>
                <w:iCs/>
              </w:rPr>
            </w:pPr>
            <w:r w:rsidRPr="00B55EC4">
              <w:rPr>
                <w:rFonts w:cstheme="minorHAnsi"/>
                <w:iCs/>
              </w:rPr>
              <w:t xml:space="preserve">With demand for IMT applications continuing to increase, additional IMT spectrum identifications in the mid-range frequency bands need to be considered in order to enable future deployments, where these applications and services </w:t>
            </w:r>
            <w:bookmarkStart w:id="0" w:name="OLE_LINK52"/>
            <w:bookmarkStart w:id="1" w:name="OLE_LINK51"/>
            <w:r w:rsidRPr="00B55EC4">
              <w:rPr>
                <w:rFonts w:cstheme="minorHAnsi"/>
                <w:iCs/>
              </w:rPr>
              <w:t>might be difficult to implement using lower or higher frequency bands.</w:t>
            </w:r>
            <w:bookmarkEnd w:id="0"/>
            <w:bookmarkEnd w:id="1"/>
            <w:r w:rsidRPr="00B55EC4">
              <w:rPr>
                <w:rFonts w:cstheme="minorHAnsi"/>
                <w:iCs/>
              </w:rPr>
              <w:t xml:space="preserve"> Agenda item 1.2 can help provide ITU Member States greater flexibility in their adoption of suitable frequency bands for IMT implementation subject to sharing and compatibility studies.</w:t>
            </w:r>
          </w:p>
          <w:p w14:paraId="5BA36D83" w14:textId="77777777" w:rsidR="004A1AF3" w:rsidRPr="00B55EC4" w:rsidRDefault="004A1AF3" w:rsidP="004A1AF3">
            <w:pPr>
              <w:autoSpaceDE w:val="0"/>
              <w:autoSpaceDN w:val="0"/>
              <w:adjustRightInd w:val="0"/>
              <w:jc w:val="both"/>
              <w:rPr>
                <w:rFonts w:cstheme="minorHAnsi"/>
              </w:rPr>
            </w:pPr>
            <w:r w:rsidRPr="00B55EC4">
              <w:rPr>
                <w:rFonts w:cstheme="minorHAnsi"/>
              </w:rPr>
              <w:t xml:space="preserve">The following bands are being considered under AI 1.2: - 3 300-3 400 MHz, 3 600-3 800 MHz, </w:t>
            </w:r>
            <w:bookmarkStart w:id="2" w:name="_Hlk56065982"/>
            <w:r w:rsidRPr="00B55EC4">
              <w:rPr>
                <w:rFonts w:cstheme="minorHAnsi"/>
              </w:rPr>
              <w:t>6 425-7 025 MHz</w:t>
            </w:r>
            <w:bookmarkEnd w:id="2"/>
            <w:r w:rsidRPr="00B55EC4">
              <w:rPr>
                <w:rFonts w:cstheme="minorHAnsi"/>
              </w:rPr>
              <w:t xml:space="preserve">, 7 025-7 125 MHz and 10.0-10.5 GHz. </w:t>
            </w:r>
          </w:p>
          <w:p w14:paraId="27AD2C55" w14:textId="77777777" w:rsidR="004A1AF3" w:rsidRPr="00B55EC4" w:rsidRDefault="004A1AF3" w:rsidP="004A1AF3">
            <w:pPr>
              <w:autoSpaceDE w:val="0"/>
              <w:autoSpaceDN w:val="0"/>
              <w:adjustRightInd w:val="0"/>
              <w:jc w:val="both"/>
              <w:rPr>
                <w:rFonts w:cstheme="minorHAnsi"/>
                <w:iCs/>
              </w:rPr>
            </w:pPr>
            <w:r w:rsidRPr="00B55EC4">
              <w:rPr>
                <w:rFonts w:cstheme="minorHAnsi"/>
                <w:iCs/>
              </w:rPr>
              <w:t xml:space="preserve">In Region 1, the band 3.3-3.4 GHz is already allocated to mobile and identified for IMT by many countries via footnotes </w:t>
            </w:r>
            <w:r w:rsidRPr="00B55EC4">
              <w:rPr>
                <w:rFonts w:cstheme="minorHAnsi"/>
                <w:b/>
                <w:iCs/>
              </w:rPr>
              <w:t>5.429 A</w:t>
            </w:r>
            <w:r w:rsidRPr="00B55EC4">
              <w:rPr>
                <w:rFonts w:cstheme="minorHAnsi"/>
                <w:iCs/>
              </w:rPr>
              <w:t xml:space="preserve"> and </w:t>
            </w:r>
            <w:r w:rsidRPr="00B55EC4">
              <w:rPr>
                <w:rFonts w:cstheme="minorHAnsi"/>
                <w:b/>
                <w:iCs/>
              </w:rPr>
              <w:t>B</w:t>
            </w:r>
            <w:r w:rsidRPr="00B55EC4">
              <w:rPr>
                <w:rFonts w:cstheme="minorHAnsi"/>
                <w:iCs/>
              </w:rPr>
              <w:t>. This band forms part of the 3.5 GHz range which is in use for 5G services.</w:t>
            </w:r>
          </w:p>
          <w:p w14:paraId="398A8861" w14:textId="77777777" w:rsidR="004A1AF3" w:rsidRPr="00B55EC4" w:rsidRDefault="004A1AF3" w:rsidP="004A1AF3">
            <w:pPr>
              <w:autoSpaceDE w:val="0"/>
              <w:autoSpaceDN w:val="0"/>
              <w:adjustRightInd w:val="0"/>
              <w:jc w:val="both"/>
              <w:rPr>
                <w:rFonts w:cstheme="minorHAnsi"/>
                <w:iCs/>
              </w:rPr>
            </w:pPr>
            <w:r w:rsidRPr="00B55EC4">
              <w:rPr>
                <w:rFonts w:cstheme="minorHAnsi"/>
                <w:iCs/>
              </w:rPr>
              <w:t xml:space="preserve">The band 6 425-7 125 GHz is being developed for licensed 5G services. The spectrum will be put into use for FWA-type 5G services in order to expand connectivity in areas beyond the edge of the fibre networks. </w:t>
            </w:r>
          </w:p>
          <w:p w14:paraId="129EC05E" w14:textId="77777777" w:rsidR="004A1AF3" w:rsidRPr="00B55EC4" w:rsidRDefault="004A1AF3" w:rsidP="004A1AF3">
            <w:pPr>
              <w:spacing w:after="0"/>
              <w:jc w:val="both"/>
              <w:rPr>
                <w:rFonts w:cstheme="minorHAnsi"/>
                <w:b/>
                <w:bCs/>
              </w:rPr>
            </w:pPr>
            <w:r w:rsidRPr="00B55EC4">
              <w:rPr>
                <w:rFonts w:cstheme="minorHAnsi"/>
                <w:b/>
                <w:bCs/>
              </w:rPr>
              <w:t>Issues</w:t>
            </w:r>
          </w:p>
          <w:p w14:paraId="6F46826E" w14:textId="77777777" w:rsidR="004A1AF3" w:rsidRPr="00B55EC4" w:rsidRDefault="004A1AF3" w:rsidP="004A1AF3">
            <w:pPr>
              <w:autoSpaceDE w:val="0"/>
              <w:autoSpaceDN w:val="0"/>
              <w:adjustRightInd w:val="0"/>
              <w:jc w:val="both"/>
              <w:rPr>
                <w:rFonts w:cstheme="minorHAnsi"/>
                <w:iCs/>
              </w:rPr>
            </w:pPr>
            <w:r w:rsidRPr="00B55EC4">
              <w:rPr>
                <w:rFonts w:cstheme="minorHAnsi"/>
                <w:iCs/>
              </w:rPr>
              <w:t xml:space="preserve">The Resolution </w:t>
            </w:r>
            <w:r w:rsidRPr="00B55EC4">
              <w:rPr>
                <w:rFonts w:cstheme="minorHAnsi"/>
                <w:b/>
                <w:bCs/>
              </w:rPr>
              <w:t xml:space="preserve">245 (WRC-19) </w:t>
            </w:r>
            <w:r w:rsidRPr="00B55EC4">
              <w:rPr>
                <w:rFonts w:cstheme="minorHAnsi"/>
                <w:iCs/>
              </w:rPr>
              <w:t>seeks to address the following issues: -</w:t>
            </w:r>
          </w:p>
          <w:p w14:paraId="7F069D35" w14:textId="77777777" w:rsidR="004A1AF3" w:rsidRPr="00B55EC4" w:rsidRDefault="004A1AF3" w:rsidP="004A1AF3">
            <w:pPr>
              <w:pStyle w:val="ListParagraph"/>
              <w:numPr>
                <w:ilvl w:val="0"/>
                <w:numId w:val="1"/>
              </w:numPr>
              <w:autoSpaceDE w:val="0"/>
              <w:autoSpaceDN w:val="0"/>
              <w:adjustRightInd w:val="0"/>
              <w:spacing w:after="0"/>
              <w:jc w:val="both"/>
              <w:rPr>
                <w:rFonts w:asciiTheme="minorHAnsi" w:hAnsiTheme="minorHAnsi" w:cstheme="minorHAnsi"/>
                <w:iCs/>
                <w:lang w:val="en-GB"/>
              </w:rPr>
            </w:pPr>
            <w:r w:rsidRPr="00B55EC4">
              <w:rPr>
                <w:rFonts w:asciiTheme="minorHAnsi" w:hAnsiTheme="minorHAnsi" w:cstheme="minorHAnsi"/>
                <w:iCs/>
                <w:lang w:val="en-GB"/>
              </w:rPr>
              <w:t>to conduct and complete the appropriate studies of technical, operational and regulatory issues taking into account:</w:t>
            </w:r>
          </w:p>
          <w:p w14:paraId="3BCA0625" w14:textId="77777777" w:rsidR="004A1AF3" w:rsidRPr="00B55EC4" w:rsidRDefault="004A1AF3" w:rsidP="00F16026">
            <w:pPr>
              <w:pStyle w:val="ListParagraph"/>
              <w:numPr>
                <w:ilvl w:val="1"/>
                <w:numId w:val="5"/>
              </w:numPr>
              <w:autoSpaceDE w:val="0"/>
              <w:autoSpaceDN w:val="0"/>
              <w:adjustRightInd w:val="0"/>
              <w:spacing w:after="0" w:line="240" w:lineRule="auto"/>
              <w:jc w:val="both"/>
              <w:rPr>
                <w:rFonts w:asciiTheme="minorHAnsi" w:hAnsiTheme="minorHAnsi" w:cstheme="minorHAnsi"/>
                <w:iCs/>
                <w:lang w:val="en-GB"/>
              </w:rPr>
            </w:pPr>
            <w:r w:rsidRPr="00B55EC4">
              <w:rPr>
                <w:rFonts w:asciiTheme="minorHAnsi" w:hAnsiTheme="minorHAnsi" w:cstheme="minorHAnsi"/>
                <w:iCs/>
                <w:lang w:val="en-GB"/>
              </w:rPr>
              <w:lastRenderedPageBreak/>
              <w:t>evolving needs to meet emerging demands for IMT</w:t>
            </w:r>
            <w:r w:rsidR="004A431B" w:rsidRPr="00B55EC4">
              <w:rPr>
                <w:rFonts w:asciiTheme="minorHAnsi" w:hAnsiTheme="minorHAnsi" w:cstheme="minorHAnsi"/>
                <w:iCs/>
                <w:lang w:val="en-GB"/>
              </w:rPr>
              <w:t xml:space="preserve"> and to ensure protection of existing services against any interference;</w:t>
            </w:r>
          </w:p>
          <w:p w14:paraId="505A9813" w14:textId="77777777" w:rsidR="004A1AF3" w:rsidRPr="00B55EC4" w:rsidRDefault="004A1AF3" w:rsidP="00E71F80">
            <w:pPr>
              <w:pStyle w:val="ListParagraph"/>
              <w:numPr>
                <w:ilvl w:val="1"/>
                <w:numId w:val="5"/>
              </w:numPr>
              <w:autoSpaceDE w:val="0"/>
              <w:autoSpaceDN w:val="0"/>
              <w:adjustRightInd w:val="0"/>
              <w:spacing w:after="0"/>
              <w:jc w:val="both"/>
              <w:rPr>
                <w:rFonts w:asciiTheme="minorHAnsi" w:hAnsiTheme="minorHAnsi" w:cstheme="minorHAnsi"/>
                <w:iCs/>
                <w:lang w:val="en-GB"/>
              </w:rPr>
            </w:pPr>
            <w:r w:rsidRPr="00B55EC4">
              <w:rPr>
                <w:rFonts w:asciiTheme="minorHAnsi" w:hAnsiTheme="minorHAnsi" w:cstheme="minorHAnsi"/>
                <w:iCs/>
                <w:lang w:val="en-GB"/>
              </w:rPr>
              <w:t xml:space="preserve">technical and operational characteristics of terrestrial IMT systems </w:t>
            </w:r>
          </w:p>
          <w:p w14:paraId="3E88FA8D" w14:textId="77777777" w:rsidR="004A1AF3" w:rsidRPr="00B55EC4" w:rsidRDefault="004A1AF3" w:rsidP="00E71F80">
            <w:pPr>
              <w:pStyle w:val="ListParagraph"/>
              <w:numPr>
                <w:ilvl w:val="1"/>
                <w:numId w:val="5"/>
              </w:numPr>
              <w:autoSpaceDE w:val="0"/>
              <w:autoSpaceDN w:val="0"/>
              <w:adjustRightInd w:val="0"/>
              <w:spacing w:after="0"/>
              <w:jc w:val="both"/>
              <w:rPr>
                <w:rFonts w:asciiTheme="minorHAnsi" w:hAnsiTheme="minorHAnsi" w:cstheme="minorHAnsi"/>
                <w:iCs/>
                <w:lang w:val="en-GB"/>
              </w:rPr>
            </w:pPr>
            <w:r w:rsidRPr="00B55EC4">
              <w:rPr>
                <w:rFonts w:asciiTheme="minorHAnsi" w:hAnsiTheme="minorHAnsi" w:cstheme="minorHAnsi"/>
                <w:iCs/>
                <w:lang w:val="en-GB"/>
              </w:rPr>
              <w:t xml:space="preserve">the deployment scenarios envisaged for IMT systems and the related requirements </w:t>
            </w:r>
          </w:p>
          <w:p w14:paraId="2800D169" w14:textId="77777777" w:rsidR="004A1AF3" w:rsidRPr="00B55EC4" w:rsidRDefault="004A1AF3" w:rsidP="00E71F80">
            <w:pPr>
              <w:pStyle w:val="ListParagraph"/>
              <w:autoSpaceDE w:val="0"/>
              <w:autoSpaceDN w:val="0"/>
              <w:adjustRightInd w:val="0"/>
              <w:spacing w:after="0"/>
              <w:ind w:left="1440"/>
              <w:jc w:val="both"/>
              <w:rPr>
                <w:rFonts w:asciiTheme="minorHAnsi" w:hAnsiTheme="minorHAnsi" w:cstheme="minorHAnsi"/>
                <w:iCs/>
                <w:lang w:val="en-GB"/>
              </w:rPr>
            </w:pPr>
            <w:r w:rsidRPr="00B55EC4">
              <w:rPr>
                <w:rFonts w:asciiTheme="minorHAnsi" w:hAnsiTheme="minorHAnsi" w:cstheme="minorHAnsi"/>
                <w:iCs/>
                <w:lang w:val="en-GB"/>
              </w:rPr>
              <w:t>of balanced coverage and capacity;</w:t>
            </w:r>
          </w:p>
          <w:p w14:paraId="426E68FC" w14:textId="2CD81F62" w:rsidR="004A1AF3" w:rsidRPr="00B55EC4" w:rsidRDefault="004A1AF3" w:rsidP="00E71F80">
            <w:pPr>
              <w:pStyle w:val="ListParagraph"/>
              <w:numPr>
                <w:ilvl w:val="1"/>
                <w:numId w:val="5"/>
              </w:numPr>
              <w:autoSpaceDE w:val="0"/>
              <w:autoSpaceDN w:val="0"/>
              <w:adjustRightInd w:val="0"/>
              <w:spacing w:after="0"/>
              <w:jc w:val="both"/>
              <w:rPr>
                <w:rFonts w:asciiTheme="minorHAnsi" w:hAnsiTheme="minorHAnsi" w:cstheme="minorHAnsi"/>
                <w:iCs/>
                <w:lang w:val="en-GB"/>
              </w:rPr>
            </w:pPr>
            <w:r w:rsidRPr="00B55EC4">
              <w:rPr>
                <w:rFonts w:asciiTheme="minorHAnsi" w:hAnsiTheme="minorHAnsi" w:cstheme="minorHAnsi"/>
                <w:iCs/>
                <w:lang w:val="en-GB"/>
              </w:rPr>
              <w:t xml:space="preserve">the needs of </w:t>
            </w:r>
            <w:r w:rsidR="0002179E" w:rsidRPr="00B55EC4">
              <w:rPr>
                <w:rFonts w:asciiTheme="minorHAnsi" w:hAnsiTheme="minorHAnsi" w:cstheme="minorHAnsi"/>
                <w:iCs/>
                <w:lang w:val="en-GB"/>
              </w:rPr>
              <w:t>African countries</w:t>
            </w:r>
            <w:r w:rsidR="00615D52" w:rsidRPr="00B55EC4">
              <w:rPr>
                <w:rFonts w:asciiTheme="minorHAnsi" w:hAnsiTheme="minorHAnsi" w:cstheme="minorHAnsi"/>
                <w:iCs/>
                <w:lang w:val="en-GB"/>
              </w:rPr>
              <w:t xml:space="preserve"> especially in deploying AP30</w:t>
            </w:r>
            <w:proofErr w:type="gramStart"/>
            <w:r w:rsidR="00615D52" w:rsidRPr="00B55EC4">
              <w:rPr>
                <w:rFonts w:asciiTheme="minorHAnsi" w:hAnsiTheme="minorHAnsi" w:cstheme="minorHAnsi"/>
                <w:iCs/>
                <w:lang w:val="en-GB"/>
              </w:rPr>
              <w:t xml:space="preserve">B </w:t>
            </w:r>
            <w:r w:rsidRPr="00B55EC4">
              <w:rPr>
                <w:rFonts w:asciiTheme="minorHAnsi" w:hAnsiTheme="minorHAnsi" w:cstheme="minorHAnsi"/>
                <w:iCs/>
                <w:lang w:val="en-GB"/>
              </w:rPr>
              <w:t>;</w:t>
            </w:r>
            <w:proofErr w:type="gramEnd"/>
          </w:p>
          <w:p w14:paraId="20BE5C19" w14:textId="77777777" w:rsidR="004A1AF3" w:rsidRPr="00B55EC4" w:rsidRDefault="004A1AF3" w:rsidP="00E71F80">
            <w:pPr>
              <w:pStyle w:val="ListParagraph"/>
              <w:numPr>
                <w:ilvl w:val="1"/>
                <w:numId w:val="5"/>
              </w:numPr>
              <w:autoSpaceDE w:val="0"/>
              <w:autoSpaceDN w:val="0"/>
              <w:adjustRightInd w:val="0"/>
              <w:spacing w:after="0"/>
              <w:jc w:val="both"/>
              <w:rPr>
                <w:rFonts w:asciiTheme="minorHAnsi" w:hAnsiTheme="minorHAnsi" w:cstheme="minorHAnsi"/>
                <w:iCs/>
                <w:lang w:val="en-GB"/>
              </w:rPr>
            </w:pPr>
            <w:r w:rsidRPr="00B55EC4">
              <w:rPr>
                <w:rFonts w:asciiTheme="minorHAnsi" w:hAnsiTheme="minorHAnsi" w:cstheme="minorHAnsi"/>
                <w:iCs/>
                <w:lang w:val="en-GB"/>
              </w:rPr>
              <w:t>the time-frame in which spectrum would be needed;</w:t>
            </w:r>
          </w:p>
          <w:p w14:paraId="41DFE8AC" w14:textId="77777777" w:rsidR="004A1AF3" w:rsidRPr="00B55EC4" w:rsidRDefault="004A1AF3" w:rsidP="004A1AF3">
            <w:pPr>
              <w:pStyle w:val="ListParagraph"/>
              <w:numPr>
                <w:ilvl w:val="0"/>
                <w:numId w:val="1"/>
              </w:numPr>
              <w:autoSpaceDE w:val="0"/>
              <w:autoSpaceDN w:val="0"/>
              <w:adjustRightInd w:val="0"/>
              <w:spacing w:after="0"/>
              <w:jc w:val="both"/>
              <w:rPr>
                <w:rFonts w:asciiTheme="minorHAnsi" w:eastAsiaTheme="minorHAnsi" w:hAnsiTheme="minorHAnsi" w:cstheme="minorHAnsi"/>
              </w:rPr>
            </w:pPr>
            <w:r w:rsidRPr="00B55EC4">
              <w:rPr>
                <w:rFonts w:asciiTheme="minorHAnsi" w:eastAsiaTheme="minorHAnsi" w:hAnsiTheme="minorHAnsi" w:cstheme="minorHAnsi"/>
              </w:rPr>
              <w:t>to conduct and complete the sharing and compatibility</w:t>
            </w:r>
            <w:r w:rsidRPr="00B55EC4">
              <w:rPr>
                <w:rFonts w:asciiTheme="minorHAnsi" w:eastAsiaTheme="minorHAnsi" w:hAnsiTheme="minorHAnsi" w:cstheme="minorHAnsi"/>
                <w:lang w:val="en-GB"/>
              </w:rPr>
              <w:t xml:space="preserve"> </w:t>
            </w:r>
            <w:r w:rsidRPr="00B55EC4">
              <w:rPr>
                <w:rFonts w:asciiTheme="minorHAnsi" w:eastAsiaTheme="minorHAnsi" w:hAnsiTheme="minorHAnsi" w:cstheme="minorHAnsi"/>
              </w:rPr>
              <w:t>studies</w:t>
            </w:r>
          </w:p>
          <w:p w14:paraId="45EDF429" w14:textId="77777777" w:rsidR="004A1AF3" w:rsidRPr="00B55EC4" w:rsidRDefault="004A1AF3" w:rsidP="00E71F80">
            <w:pPr>
              <w:pStyle w:val="ListParagraph"/>
              <w:numPr>
                <w:ilvl w:val="1"/>
                <w:numId w:val="5"/>
              </w:numPr>
              <w:autoSpaceDE w:val="0"/>
              <w:autoSpaceDN w:val="0"/>
              <w:adjustRightInd w:val="0"/>
              <w:spacing w:after="0"/>
              <w:jc w:val="both"/>
              <w:rPr>
                <w:rFonts w:asciiTheme="minorHAnsi" w:hAnsiTheme="minorHAnsi" w:cstheme="minorHAnsi"/>
              </w:rPr>
            </w:pPr>
            <w:r w:rsidRPr="00B55EC4">
              <w:rPr>
                <w:rFonts w:asciiTheme="minorHAnsi" w:hAnsiTheme="minorHAnsi" w:cstheme="minorHAnsi"/>
              </w:rPr>
              <w:t>3 600-3 800 MHz and 3 300-3 400 MHz (Region 2);</w:t>
            </w:r>
          </w:p>
          <w:p w14:paraId="54BCB564" w14:textId="77777777" w:rsidR="004A1AF3" w:rsidRPr="00B55EC4" w:rsidRDefault="004A1AF3" w:rsidP="00E71F80">
            <w:pPr>
              <w:pStyle w:val="ListParagraph"/>
              <w:numPr>
                <w:ilvl w:val="1"/>
                <w:numId w:val="5"/>
              </w:numPr>
              <w:autoSpaceDE w:val="0"/>
              <w:autoSpaceDN w:val="0"/>
              <w:adjustRightInd w:val="0"/>
              <w:spacing w:after="0"/>
              <w:jc w:val="both"/>
              <w:rPr>
                <w:rFonts w:asciiTheme="minorHAnsi" w:hAnsiTheme="minorHAnsi" w:cstheme="minorHAnsi"/>
                <w:b/>
              </w:rPr>
            </w:pPr>
            <w:r w:rsidRPr="00B55EC4">
              <w:rPr>
                <w:rFonts w:asciiTheme="minorHAnsi" w:hAnsiTheme="minorHAnsi" w:cstheme="minorHAnsi"/>
                <w:b/>
              </w:rPr>
              <w:t>3 300-3 400 MHz (</w:t>
            </w:r>
            <w:r w:rsidRPr="00B55EC4">
              <w:rPr>
                <w:rFonts w:asciiTheme="minorHAnsi" w:hAnsiTheme="minorHAnsi" w:cstheme="minorHAnsi"/>
              </w:rPr>
              <w:t>amend footnote 5.429B</w:t>
            </w:r>
            <w:r w:rsidRPr="00B55EC4">
              <w:rPr>
                <w:rFonts w:asciiTheme="minorHAnsi" w:hAnsiTheme="minorHAnsi" w:cstheme="minorHAnsi"/>
                <w:lang w:val="en-GB"/>
              </w:rPr>
              <w:t xml:space="preserve"> </w:t>
            </w:r>
            <w:r w:rsidRPr="00B55EC4">
              <w:rPr>
                <w:rFonts w:asciiTheme="minorHAnsi" w:hAnsiTheme="minorHAnsi" w:cstheme="minorHAnsi"/>
              </w:rPr>
              <w:t>in</w:t>
            </w:r>
            <w:r w:rsidRPr="00B55EC4">
              <w:rPr>
                <w:rFonts w:asciiTheme="minorHAnsi" w:hAnsiTheme="minorHAnsi" w:cstheme="minorHAnsi"/>
                <w:b/>
              </w:rPr>
              <w:t xml:space="preserve"> </w:t>
            </w:r>
            <w:proofErr w:type="gramStart"/>
            <w:r w:rsidRPr="00B55EC4">
              <w:rPr>
                <w:rFonts w:asciiTheme="minorHAnsi" w:hAnsiTheme="minorHAnsi" w:cstheme="minorHAnsi"/>
                <w:b/>
                <w:bCs/>
              </w:rPr>
              <w:t>Region</w:t>
            </w:r>
            <w:proofErr w:type="gramEnd"/>
            <w:r w:rsidRPr="00B55EC4">
              <w:rPr>
                <w:rFonts w:asciiTheme="minorHAnsi" w:hAnsiTheme="minorHAnsi" w:cstheme="minorHAnsi"/>
                <w:b/>
                <w:bCs/>
              </w:rPr>
              <w:t xml:space="preserve"> 1</w:t>
            </w:r>
            <w:r w:rsidRPr="00B55EC4">
              <w:rPr>
                <w:rFonts w:asciiTheme="minorHAnsi" w:hAnsiTheme="minorHAnsi" w:cstheme="minorHAnsi"/>
                <w:b/>
              </w:rPr>
              <w:t>);</w:t>
            </w:r>
          </w:p>
          <w:p w14:paraId="668797C4" w14:textId="77777777" w:rsidR="004A1AF3" w:rsidRPr="00B55EC4" w:rsidRDefault="004A1AF3" w:rsidP="00E71F80">
            <w:pPr>
              <w:pStyle w:val="ListParagraph"/>
              <w:numPr>
                <w:ilvl w:val="1"/>
                <w:numId w:val="5"/>
              </w:numPr>
              <w:autoSpaceDE w:val="0"/>
              <w:autoSpaceDN w:val="0"/>
              <w:adjustRightInd w:val="0"/>
              <w:spacing w:after="0"/>
              <w:jc w:val="both"/>
              <w:rPr>
                <w:rFonts w:asciiTheme="minorHAnsi" w:hAnsiTheme="minorHAnsi" w:cstheme="minorHAnsi"/>
                <w:b/>
              </w:rPr>
            </w:pPr>
            <w:r w:rsidRPr="00B55EC4">
              <w:rPr>
                <w:rFonts w:asciiTheme="minorHAnsi" w:hAnsiTheme="minorHAnsi" w:cstheme="minorHAnsi"/>
                <w:b/>
              </w:rPr>
              <w:t>7 025-7 125 MHz (</w:t>
            </w:r>
            <w:r w:rsidRPr="00B55EC4">
              <w:rPr>
                <w:rFonts w:asciiTheme="minorHAnsi" w:hAnsiTheme="minorHAnsi" w:cstheme="minorHAnsi"/>
                <w:b/>
                <w:bCs/>
                <w:lang w:val="en-GB"/>
              </w:rPr>
              <w:t>G</w:t>
            </w:r>
            <w:proofErr w:type="spellStart"/>
            <w:r w:rsidRPr="00B55EC4">
              <w:rPr>
                <w:rFonts w:asciiTheme="minorHAnsi" w:hAnsiTheme="minorHAnsi" w:cstheme="minorHAnsi"/>
                <w:b/>
                <w:bCs/>
              </w:rPr>
              <w:t>lobally</w:t>
            </w:r>
            <w:proofErr w:type="spellEnd"/>
            <w:r w:rsidRPr="00B55EC4">
              <w:rPr>
                <w:rFonts w:asciiTheme="minorHAnsi" w:hAnsiTheme="minorHAnsi" w:cstheme="minorHAnsi"/>
                <w:b/>
              </w:rPr>
              <w:t>);</w:t>
            </w:r>
          </w:p>
          <w:p w14:paraId="7AD61D41" w14:textId="77777777" w:rsidR="004A1AF3" w:rsidRPr="00B55EC4" w:rsidRDefault="004A1AF3" w:rsidP="00E71F80">
            <w:pPr>
              <w:pStyle w:val="ListParagraph"/>
              <w:numPr>
                <w:ilvl w:val="1"/>
                <w:numId w:val="5"/>
              </w:numPr>
              <w:autoSpaceDE w:val="0"/>
              <w:autoSpaceDN w:val="0"/>
              <w:adjustRightInd w:val="0"/>
              <w:spacing w:after="0"/>
              <w:jc w:val="both"/>
              <w:rPr>
                <w:rFonts w:asciiTheme="minorHAnsi" w:hAnsiTheme="minorHAnsi" w:cstheme="minorHAnsi"/>
                <w:b/>
              </w:rPr>
            </w:pPr>
            <w:r w:rsidRPr="00B55EC4">
              <w:rPr>
                <w:rFonts w:asciiTheme="minorHAnsi" w:hAnsiTheme="minorHAnsi" w:cstheme="minorHAnsi"/>
                <w:b/>
              </w:rPr>
              <w:t>6 425-7 025 MHz (</w:t>
            </w:r>
            <w:r w:rsidRPr="00B55EC4">
              <w:rPr>
                <w:rFonts w:asciiTheme="minorHAnsi" w:hAnsiTheme="minorHAnsi" w:cstheme="minorHAnsi"/>
                <w:b/>
                <w:bCs/>
              </w:rPr>
              <w:t>Region 1</w:t>
            </w:r>
            <w:r w:rsidRPr="00B55EC4">
              <w:rPr>
                <w:rFonts w:asciiTheme="minorHAnsi" w:hAnsiTheme="minorHAnsi" w:cstheme="minorHAnsi"/>
                <w:b/>
              </w:rPr>
              <w:t>);</w:t>
            </w:r>
          </w:p>
          <w:p w14:paraId="032D4BC4" w14:textId="77777777" w:rsidR="004A1AF3" w:rsidRPr="00B55EC4" w:rsidRDefault="004A1AF3" w:rsidP="00E71F80">
            <w:pPr>
              <w:pStyle w:val="ListParagraph"/>
              <w:numPr>
                <w:ilvl w:val="1"/>
                <w:numId w:val="5"/>
              </w:numPr>
              <w:autoSpaceDE w:val="0"/>
              <w:autoSpaceDN w:val="0"/>
              <w:adjustRightInd w:val="0"/>
              <w:spacing w:after="0"/>
              <w:jc w:val="both"/>
              <w:rPr>
                <w:rFonts w:asciiTheme="minorHAnsi" w:hAnsiTheme="minorHAnsi" w:cstheme="minorHAnsi"/>
                <w:iCs/>
                <w:lang w:val="en-GB"/>
              </w:rPr>
            </w:pPr>
            <w:r w:rsidRPr="00B55EC4">
              <w:rPr>
                <w:rFonts w:asciiTheme="minorHAnsi" w:hAnsiTheme="minorHAnsi" w:cstheme="minorHAnsi"/>
              </w:rPr>
              <w:t>10 000-10 500 MHz (Region 2),</w:t>
            </w:r>
          </w:p>
          <w:p w14:paraId="37991409" w14:textId="77777777" w:rsidR="004A431B" w:rsidRPr="00B55EC4" w:rsidRDefault="004A431B" w:rsidP="0002179E">
            <w:pPr>
              <w:autoSpaceDE w:val="0"/>
              <w:autoSpaceDN w:val="0"/>
              <w:adjustRightInd w:val="0"/>
              <w:spacing w:after="0" w:line="240" w:lineRule="auto"/>
              <w:jc w:val="both"/>
              <w:rPr>
                <w:rFonts w:eastAsia="Times New Roman" w:cstheme="minorHAnsi"/>
                <w:lang w:val="en-US"/>
              </w:rPr>
            </w:pPr>
          </w:p>
        </w:tc>
      </w:tr>
      <w:tr w:rsidR="004A1AF3" w:rsidRPr="00B55EC4" w14:paraId="16EE0E36" w14:textId="77777777" w:rsidTr="00E4495B">
        <w:tc>
          <w:tcPr>
            <w:tcW w:w="9576" w:type="dxa"/>
          </w:tcPr>
          <w:p w14:paraId="1F0B7E03" w14:textId="77777777" w:rsidR="004A1AF3" w:rsidRPr="00B55EC4" w:rsidRDefault="004A1AF3" w:rsidP="004A1AF3">
            <w:pPr>
              <w:spacing w:after="0" w:line="240" w:lineRule="auto"/>
              <w:rPr>
                <w:rFonts w:eastAsia="Times New Roman" w:cstheme="minorHAnsi"/>
                <w:b/>
                <w:i/>
                <w:color w:val="00B050"/>
                <w:spacing w:val="60"/>
                <w:lang w:val="en-US"/>
              </w:rPr>
            </w:pPr>
            <w:r w:rsidRPr="00B55EC4">
              <w:rPr>
                <w:rFonts w:eastAsia="Times New Roman" w:cstheme="minorHAnsi"/>
                <w:b/>
                <w:i/>
                <w:color w:val="00B050"/>
                <w:spacing w:val="60"/>
                <w:lang w:val="en-US"/>
              </w:rPr>
              <w:lastRenderedPageBreak/>
              <w:t>Part C: Current Status of Band</w:t>
            </w:r>
          </w:p>
        </w:tc>
      </w:tr>
      <w:tr w:rsidR="004A1AF3" w:rsidRPr="00B55EC4" w14:paraId="7F965CDE" w14:textId="77777777" w:rsidTr="00E4495B">
        <w:trPr>
          <w:trHeight w:val="1048"/>
        </w:trPr>
        <w:tc>
          <w:tcPr>
            <w:tcW w:w="9576" w:type="dxa"/>
          </w:tcPr>
          <w:p w14:paraId="45A3EE48" w14:textId="77777777" w:rsidR="004A431B" w:rsidRPr="00B55EC4" w:rsidRDefault="00B33116" w:rsidP="004A431B">
            <w:pPr>
              <w:spacing w:before="120" w:after="120" w:line="276" w:lineRule="auto"/>
              <w:jc w:val="both"/>
              <w:rPr>
                <w:rFonts w:cstheme="minorHAnsi"/>
                <w:iCs/>
              </w:rPr>
            </w:pPr>
            <w:r w:rsidRPr="00B55EC4">
              <w:rPr>
                <w:rFonts w:cstheme="minorHAnsi"/>
                <w:iCs/>
              </w:rPr>
              <w:t xml:space="preserve">WP5D </w:t>
            </w:r>
            <w:r w:rsidR="00D34BB3" w:rsidRPr="00B55EC4">
              <w:rPr>
                <w:rFonts w:cstheme="minorHAnsi"/>
                <w:iCs/>
              </w:rPr>
              <w:t xml:space="preserve">reviewed and </w:t>
            </w:r>
            <w:r w:rsidRPr="00B55EC4">
              <w:rPr>
                <w:rFonts w:cstheme="minorHAnsi"/>
                <w:iCs/>
              </w:rPr>
              <w:t xml:space="preserve">updated the </w:t>
            </w:r>
            <w:r w:rsidR="00D34BB3" w:rsidRPr="00B55EC4">
              <w:rPr>
                <w:rFonts w:cstheme="minorHAnsi"/>
                <w:iCs/>
              </w:rPr>
              <w:t xml:space="preserve">draft initial </w:t>
            </w:r>
            <w:r w:rsidRPr="00B55EC4">
              <w:rPr>
                <w:rFonts w:cstheme="minorHAnsi"/>
                <w:iCs/>
              </w:rPr>
              <w:t>working document towards draft CPM text</w:t>
            </w:r>
            <w:r w:rsidR="00D34BB3" w:rsidRPr="00B55EC4">
              <w:rPr>
                <w:rFonts w:cstheme="minorHAnsi"/>
                <w:iCs/>
              </w:rPr>
              <w:t xml:space="preserve">. The WP further updated </w:t>
            </w:r>
            <w:r w:rsidRPr="00B55EC4">
              <w:rPr>
                <w:rFonts w:cstheme="minorHAnsi"/>
                <w:iCs/>
              </w:rPr>
              <w:t>working documents on sharing and compatibility studies of IMT systems in the frequency bands 6 425-7 125 MHz and 10-10.5 GHz, as well as a framework document for sharing studies</w:t>
            </w:r>
            <w:r w:rsidR="00D34BB3" w:rsidRPr="00B55EC4">
              <w:rPr>
                <w:rFonts w:cstheme="minorHAnsi"/>
                <w:iCs/>
              </w:rPr>
              <w:t>. The working document on sharing and compatibility studies of IMT systems in the frequency band 3 300-3 800 MHz was not updated at the last meeting as no input contributions were received on the matter. WP5D developed 2</w:t>
            </w:r>
            <w:r w:rsidRPr="00B55EC4">
              <w:rPr>
                <w:rFonts w:cstheme="minorHAnsi"/>
                <w:iCs/>
              </w:rPr>
              <w:t xml:space="preserve"> liaison statements to the contributing groups</w:t>
            </w:r>
            <w:r w:rsidR="00D34BB3" w:rsidRPr="00B55EC4">
              <w:rPr>
                <w:rFonts w:cstheme="minorHAnsi"/>
                <w:iCs/>
              </w:rPr>
              <w:t>, r</w:t>
            </w:r>
            <w:r w:rsidR="00E71F80" w:rsidRPr="00B55EC4">
              <w:rPr>
                <w:rFonts w:cstheme="minorHAnsi"/>
                <w:iCs/>
              </w:rPr>
              <w:t>eply Liaison Statement to Working Parties 5В, 5С, 7В, 7С and 7D and reply Liaison Statement to WP 7C on complementary information on the EESS (active) antenna pattern to be used for sharing and compatibility studies</w:t>
            </w:r>
            <w:r w:rsidR="00D34BB3" w:rsidRPr="00B55EC4">
              <w:rPr>
                <w:rFonts w:cstheme="minorHAnsi"/>
                <w:iCs/>
              </w:rPr>
              <w:t>. WP5D is still waiting for IMT technical characteristics from some contributing Working Parties for the services under their responsibility.</w:t>
            </w:r>
            <w:r w:rsidR="004A431B" w:rsidRPr="00B55EC4">
              <w:rPr>
                <w:rFonts w:cstheme="minorHAnsi"/>
                <w:iCs/>
              </w:rPr>
              <w:t xml:space="preserve"> The work plan was reviewed and updated as necessary. </w:t>
            </w:r>
          </w:p>
          <w:p w14:paraId="3CF910A1" w14:textId="77777777" w:rsidR="00E71F80" w:rsidRPr="00B55EC4" w:rsidRDefault="00E71F80" w:rsidP="00B33116">
            <w:pPr>
              <w:spacing w:before="120" w:after="120" w:line="276" w:lineRule="auto"/>
              <w:jc w:val="both"/>
              <w:rPr>
                <w:rFonts w:cstheme="minorHAnsi"/>
                <w:iCs/>
              </w:rPr>
            </w:pPr>
          </w:p>
          <w:p w14:paraId="39FFCD7A" w14:textId="77777777" w:rsidR="004A431B" w:rsidRPr="00B55EC4" w:rsidRDefault="004A431B" w:rsidP="004A431B">
            <w:pPr>
              <w:spacing w:after="120" w:line="240" w:lineRule="auto"/>
              <w:jc w:val="both"/>
              <w:rPr>
                <w:rFonts w:cstheme="minorHAnsi"/>
              </w:rPr>
            </w:pPr>
            <w:r w:rsidRPr="00B55EC4">
              <w:rPr>
                <w:rFonts w:cstheme="minorHAnsi"/>
              </w:rPr>
              <w:t>The summary list of services that could be relevant for coexistence studies, as identified by WP5D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519"/>
            </w:tblGrid>
            <w:tr w:rsidR="004A431B" w:rsidRPr="00B55EC4" w14:paraId="6843CC3C" w14:textId="77777777" w:rsidTr="00E4495B">
              <w:trPr>
                <w:jc w:val="center"/>
              </w:trPr>
              <w:tc>
                <w:tcPr>
                  <w:tcW w:w="9602" w:type="dxa"/>
                  <w:gridSpan w:val="2"/>
                  <w:shd w:val="clear" w:color="auto" w:fill="D9D9D9"/>
                </w:tcPr>
                <w:p w14:paraId="257A84C2" w14:textId="77777777" w:rsidR="004A431B" w:rsidRPr="00B55EC4" w:rsidRDefault="004A431B" w:rsidP="004A431B">
                  <w:pPr>
                    <w:spacing w:after="0" w:line="240" w:lineRule="auto"/>
                    <w:jc w:val="center"/>
                    <w:rPr>
                      <w:rFonts w:cstheme="minorHAnsi"/>
                      <w:b/>
                      <w:lang w:val="fr-FR"/>
                    </w:rPr>
                  </w:pPr>
                  <w:r w:rsidRPr="00B55EC4">
                    <w:rPr>
                      <w:rFonts w:cstheme="minorHAnsi"/>
                      <w:b/>
                      <w:lang w:val="fr-FR"/>
                    </w:rPr>
                    <w:t>Services</w:t>
                  </w:r>
                </w:p>
              </w:tc>
            </w:tr>
            <w:tr w:rsidR="004A431B" w:rsidRPr="00B55EC4" w14:paraId="219EEED8" w14:textId="77777777" w:rsidTr="00E4495B">
              <w:trPr>
                <w:jc w:val="center"/>
              </w:trPr>
              <w:tc>
                <w:tcPr>
                  <w:tcW w:w="4819" w:type="dxa"/>
                  <w:shd w:val="clear" w:color="auto" w:fill="auto"/>
                </w:tcPr>
                <w:p w14:paraId="0BFEF7C3" w14:textId="77777777" w:rsidR="004A431B" w:rsidRPr="00B55EC4" w:rsidRDefault="004A431B" w:rsidP="004A431B">
                  <w:pPr>
                    <w:spacing w:after="0" w:line="240" w:lineRule="auto"/>
                    <w:jc w:val="center"/>
                    <w:rPr>
                      <w:rFonts w:cstheme="minorHAnsi"/>
                      <w:lang w:val="fr-FR"/>
                    </w:rPr>
                  </w:pPr>
                  <w:r w:rsidRPr="00B55EC4">
                    <w:rPr>
                      <w:rFonts w:cstheme="minorHAnsi"/>
                      <w:lang w:val="fr-FR"/>
                    </w:rPr>
                    <w:t>Mobile Satellite Service (MSS)</w:t>
                  </w:r>
                </w:p>
              </w:tc>
              <w:tc>
                <w:tcPr>
                  <w:tcW w:w="4783" w:type="dxa"/>
                </w:tcPr>
                <w:p w14:paraId="4F739EC6" w14:textId="77777777" w:rsidR="004A431B" w:rsidRPr="00B55EC4" w:rsidRDefault="004A431B" w:rsidP="004A431B">
                  <w:pPr>
                    <w:spacing w:after="0" w:line="240" w:lineRule="auto"/>
                    <w:jc w:val="center"/>
                    <w:rPr>
                      <w:rFonts w:cstheme="minorHAnsi"/>
                      <w:lang w:val="fr-FR"/>
                    </w:rPr>
                  </w:pPr>
                  <w:r w:rsidRPr="00B55EC4">
                    <w:rPr>
                      <w:rFonts w:cstheme="minorHAnsi"/>
                    </w:rPr>
                    <w:t xml:space="preserve">Space Research </w:t>
                  </w:r>
                  <w:r w:rsidRPr="00B55EC4">
                    <w:rPr>
                      <w:rFonts w:cstheme="minorHAnsi"/>
                      <w:lang w:val="fr-FR"/>
                    </w:rPr>
                    <w:t xml:space="preserve">Service </w:t>
                  </w:r>
                  <w:r w:rsidRPr="00B55EC4">
                    <w:rPr>
                      <w:rFonts w:cstheme="minorHAnsi"/>
                    </w:rPr>
                    <w:t>(SRS)</w:t>
                  </w:r>
                </w:p>
              </w:tc>
            </w:tr>
            <w:tr w:rsidR="004A431B" w:rsidRPr="00B55EC4" w14:paraId="3D1196C3" w14:textId="77777777" w:rsidTr="00E4495B">
              <w:trPr>
                <w:jc w:val="center"/>
              </w:trPr>
              <w:tc>
                <w:tcPr>
                  <w:tcW w:w="4819" w:type="dxa"/>
                  <w:shd w:val="clear" w:color="auto" w:fill="auto"/>
                </w:tcPr>
                <w:p w14:paraId="693D90EF" w14:textId="77777777" w:rsidR="004A431B" w:rsidRPr="00B55EC4" w:rsidRDefault="004A431B" w:rsidP="004A431B">
                  <w:pPr>
                    <w:spacing w:after="0" w:line="240" w:lineRule="auto"/>
                    <w:jc w:val="center"/>
                    <w:rPr>
                      <w:rFonts w:cstheme="minorHAnsi"/>
                      <w:lang w:val="fr-FR"/>
                    </w:rPr>
                  </w:pPr>
                  <w:proofErr w:type="spellStart"/>
                  <w:r w:rsidRPr="00B55EC4">
                    <w:rPr>
                      <w:rFonts w:cstheme="minorHAnsi"/>
                      <w:lang w:val="fr-FR"/>
                    </w:rPr>
                    <w:t>Aeronautical</w:t>
                  </w:r>
                  <w:proofErr w:type="spellEnd"/>
                  <w:r w:rsidRPr="00B55EC4">
                    <w:rPr>
                      <w:rFonts w:cstheme="minorHAnsi"/>
                      <w:lang w:val="fr-FR"/>
                    </w:rPr>
                    <w:t xml:space="preserve"> Mobile Service (AMS)</w:t>
                  </w:r>
                </w:p>
              </w:tc>
              <w:tc>
                <w:tcPr>
                  <w:tcW w:w="4783" w:type="dxa"/>
                </w:tcPr>
                <w:p w14:paraId="79EE1110" w14:textId="77777777" w:rsidR="004A431B" w:rsidRPr="00B55EC4" w:rsidRDefault="004A431B" w:rsidP="004A431B">
                  <w:pPr>
                    <w:spacing w:after="0" w:line="240" w:lineRule="auto"/>
                    <w:jc w:val="center"/>
                    <w:rPr>
                      <w:rFonts w:cstheme="minorHAnsi"/>
                    </w:rPr>
                  </w:pPr>
                  <w:r w:rsidRPr="00B55EC4">
                    <w:rPr>
                      <w:rFonts w:cstheme="minorHAnsi"/>
                    </w:rPr>
                    <w:t>Earth Exploration-Satellite Service (EESS)</w:t>
                  </w:r>
                </w:p>
              </w:tc>
            </w:tr>
            <w:tr w:rsidR="004A431B" w:rsidRPr="00B55EC4" w14:paraId="31DA4EB5" w14:textId="77777777" w:rsidTr="00E4495B">
              <w:trPr>
                <w:jc w:val="center"/>
              </w:trPr>
              <w:tc>
                <w:tcPr>
                  <w:tcW w:w="4819" w:type="dxa"/>
                  <w:shd w:val="clear" w:color="auto" w:fill="auto"/>
                </w:tcPr>
                <w:p w14:paraId="66D18BBB" w14:textId="77777777" w:rsidR="004A431B" w:rsidRPr="00B55EC4" w:rsidRDefault="004A431B" w:rsidP="004A431B">
                  <w:pPr>
                    <w:spacing w:after="0" w:line="240" w:lineRule="auto"/>
                    <w:jc w:val="center"/>
                    <w:rPr>
                      <w:rFonts w:cstheme="minorHAnsi"/>
                    </w:rPr>
                  </w:pPr>
                  <w:r w:rsidRPr="00B55EC4">
                    <w:rPr>
                      <w:rFonts w:cstheme="minorHAnsi"/>
                    </w:rPr>
                    <w:t xml:space="preserve">Radiodetermination </w:t>
                  </w:r>
                  <w:r w:rsidRPr="00B55EC4">
                    <w:rPr>
                      <w:rFonts w:cstheme="minorHAnsi"/>
                      <w:lang w:val="fr-FR"/>
                    </w:rPr>
                    <w:t xml:space="preserve">Service </w:t>
                  </w:r>
                  <w:r w:rsidRPr="00B55EC4">
                    <w:rPr>
                      <w:rFonts w:cstheme="minorHAnsi"/>
                    </w:rPr>
                    <w:t>(RDS)</w:t>
                  </w:r>
                </w:p>
              </w:tc>
              <w:tc>
                <w:tcPr>
                  <w:tcW w:w="4783" w:type="dxa"/>
                </w:tcPr>
                <w:p w14:paraId="0FEA7D6C" w14:textId="77777777" w:rsidR="004A431B" w:rsidRPr="00B55EC4" w:rsidRDefault="004A431B" w:rsidP="004A431B">
                  <w:pPr>
                    <w:spacing w:after="0" w:line="240" w:lineRule="auto"/>
                    <w:jc w:val="center"/>
                    <w:rPr>
                      <w:rFonts w:cstheme="minorHAnsi"/>
                    </w:rPr>
                  </w:pPr>
                  <w:r w:rsidRPr="00B55EC4">
                    <w:rPr>
                      <w:rFonts w:cstheme="minorHAnsi"/>
                    </w:rPr>
                    <w:t xml:space="preserve">Inter-Satellite </w:t>
                  </w:r>
                  <w:r w:rsidRPr="00B55EC4">
                    <w:rPr>
                      <w:rFonts w:cstheme="minorHAnsi"/>
                      <w:lang w:val="fr-FR"/>
                    </w:rPr>
                    <w:t xml:space="preserve">Service </w:t>
                  </w:r>
                  <w:r w:rsidRPr="00B55EC4">
                    <w:rPr>
                      <w:rFonts w:cstheme="minorHAnsi"/>
                    </w:rPr>
                    <w:t>(ISS)</w:t>
                  </w:r>
                </w:p>
              </w:tc>
            </w:tr>
            <w:tr w:rsidR="004A431B" w:rsidRPr="00B55EC4" w14:paraId="4D856E44" w14:textId="77777777" w:rsidTr="00E4495B">
              <w:trPr>
                <w:jc w:val="center"/>
              </w:trPr>
              <w:tc>
                <w:tcPr>
                  <w:tcW w:w="4819" w:type="dxa"/>
                  <w:shd w:val="clear" w:color="auto" w:fill="auto"/>
                </w:tcPr>
                <w:p w14:paraId="1F0A519E" w14:textId="77777777" w:rsidR="004A431B" w:rsidRPr="00B55EC4" w:rsidRDefault="004A431B" w:rsidP="004A431B">
                  <w:pPr>
                    <w:spacing w:after="0" w:line="240" w:lineRule="auto"/>
                    <w:jc w:val="center"/>
                    <w:rPr>
                      <w:rFonts w:cstheme="minorHAnsi"/>
                    </w:rPr>
                  </w:pPr>
                  <w:r w:rsidRPr="00B55EC4">
                    <w:rPr>
                      <w:rFonts w:cstheme="minorHAnsi"/>
                    </w:rPr>
                    <w:t xml:space="preserve">Radiolocation </w:t>
                  </w:r>
                  <w:r w:rsidRPr="00B55EC4">
                    <w:rPr>
                      <w:rFonts w:cstheme="minorHAnsi"/>
                      <w:lang w:val="fr-FR"/>
                    </w:rPr>
                    <w:t xml:space="preserve">Service </w:t>
                  </w:r>
                  <w:r w:rsidRPr="00B55EC4">
                    <w:rPr>
                      <w:rFonts w:cstheme="minorHAnsi"/>
                    </w:rPr>
                    <w:t>(RLS)</w:t>
                  </w:r>
                </w:p>
              </w:tc>
              <w:tc>
                <w:tcPr>
                  <w:tcW w:w="4783" w:type="dxa"/>
                </w:tcPr>
                <w:p w14:paraId="69E9E866" w14:textId="77777777" w:rsidR="004A431B" w:rsidRPr="00B55EC4" w:rsidRDefault="004A431B" w:rsidP="004A431B">
                  <w:pPr>
                    <w:spacing w:after="0" w:line="240" w:lineRule="auto"/>
                    <w:jc w:val="center"/>
                    <w:rPr>
                      <w:rFonts w:cstheme="minorHAnsi"/>
                    </w:rPr>
                  </w:pPr>
                  <w:r w:rsidRPr="00B55EC4">
                    <w:rPr>
                      <w:rFonts w:cstheme="minorHAnsi"/>
                    </w:rPr>
                    <w:t>Earth Exploration-Satellite (passive) (EESS (passive))</w:t>
                  </w:r>
                </w:p>
              </w:tc>
            </w:tr>
            <w:tr w:rsidR="004A431B" w:rsidRPr="00B55EC4" w14:paraId="00745334" w14:textId="77777777" w:rsidTr="00E4495B">
              <w:trPr>
                <w:jc w:val="center"/>
              </w:trPr>
              <w:tc>
                <w:tcPr>
                  <w:tcW w:w="4819" w:type="dxa"/>
                  <w:shd w:val="clear" w:color="auto" w:fill="auto"/>
                </w:tcPr>
                <w:p w14:paraId="12E3FF0C" w14:textId="77777777" w:rsidR="004A431B" w:rsidRPr="00B55EC4" w:rsidRDefault="004A431B" w:rsidP="004A431B">
                  <w:pPr>
                    <w:spacing w:after="0" w:line="240" w:lineRule="auto"/>
                    <w:jc w:val="center"/>
                    <w:rPr>
                      <w:rFonts w:cstheme="minorHAnsi"/>
                    </w:rPr>
                  </w:pPr>
                  <w:r w:rsidRPr="00B55EC4">
                    <w:rPr>
                      <w:rFonts w:cstheme="minorHAnsi"/>
                    </w:rPr>
                    <w:t xml:space="preserve">Fixed </w:t>
                  </w:r>
                  <w:r w:rsidRPr="00B55EC4">
                    <w:rPr>
                      <w:rFonts w:cstheme="minorHAnsi"/>
                      <w:lang w:val="fr-FR"/>
                    </w:rPr>
                    <w:t xml:space="preserve">Service </w:t>
                  </w:r>
                  <w:r w:rsidRPr="00B55EC4">
                    <w:rPr>
                      <w:rFonts w:cstheme="minorHAnsi"/>
                    </w:rPr>
                    <w:t>(FS)</w:t>
                  </w:r>
                </w:p>
              </w:tc>
              <w:tc>
                <w:tcPr>
                  <w:tcW w:w="4783" w:type="dxa"/>
                </w:tcPr>
                <w:p w14:paraId="4FBC28C1" w14:textId="77777777" w:rsidR="004A431B" w:rsidRPr="00B55EC4" w:rsidRDefault="004A431B" w:rsidP="004A431B">
                  <w:pPr>
                    <w:spacing w:after="0" w:line="240" w:lineRule="auto"/>
                    <w:jc w:val="center"/>
                    <w:rPr>
                      <w:rFonts w:cstheme="minorHAnsi"/>
                    </w:rPr>
                  </w:pPr>
                  <w:r w:rsidRPr="00B55EC4">
                    <w:rPr>
                      <w:rFonts w:cstheme="minorHAnsi"/>
                    </w:rPr>
                    <w:t>Space Research Service (passive) (SRS (passive))</w:t>
                  </w:r>
                </w:p>
              </w:tc>
            </w:tr>
            <w:tr w:rsidR="004A431B" w:rsidRPr="00B55EC4" w14:paraId="4C535B0F" w14:textId="77777777" w:rsidTr="00E4495B">
              <w:trPr>
                <w:jc w:val="center"/>
              </w:trPr>
              <w:tc>
                <w:tcPr>
                  <w:tcW w:w="4819" w:type="dxa"/>
                  <w:shd w:val="clear" w:color="auto" w:fill="auto"/>
                </w:tcPr>
                <w:p w14:paraId="09A89243" w14:textId="77777777" w:rsidR="004A431B" w:rsidRPr="00B55EC4" w:rsidRDefault="004A431B" w:rsidP="004A431B">
                  <w:pPr>
                    <w:spacing w:after="0" w:line="240" w:lineRule="auto"/>
                    <w:jc w:val="center"/>
                    <w:rPr>
                      <w:rFonts w:cstheme="minorHAnsi"/>
                    </w:rPr>
                  </w:pPr>
                  <w:r w:rsidRPr="00B55EC4">
                    <w:rPr>
                      <w:rFonts w:cstheme="minorHAnsi"/>
                    </w:rPr>
                    <w:t>Space Operation Service (SOS)</w:t>
                  </w:r>
                </w:p>
              </w:tc>
              <w:tc>
                <w:tcPr>
                  <w:tcW w:w="4783" w:type="dxa"/>
                </w:tcPr>
                <w:p w14:paraId="22FFD9CD" w14:textId="77777777" w:rsidR="004A431B" w:rsidRPr="00B55EC4" w:rsidRDefault="004A431B" w:rsidP="004A431B">
                  <w:pPr>
                    <w:spacing w:after="0" w:line="240" w:lineRule="auto"/>
                    <w:jc w:val="center"/>
                    <w:rPr>
                      <w:rFonts w:cstheme="minorHAnsi"/>
                    </w:rPr>
                  </w:pPr>
                  <w:r w:rsidRPr="00B55EC4">
                    <w:rPr>
                      <w:rFonts w:cstheme="minorHAnsi"/>
                    </w:rPr>
                    <w:t>Radio astronomy</w:t>
                  </w:r>
                </w:p>
              </w:tc>
            </w:tr>
            <w:tr w:rsidR="004A431B" w:rsidRPr="00B55EC4" w14:paraId="0838F6F3" w14:textId="77777777" w:rsidTr="00E4495B">
              <w:trPr>
                <w:jc w:val="center"/>
              </w:trPr>
              <w:tc>
                <w:tcPr>
                  <w:tcW w:w="4819" w:type="dxa"/>
                  <w:shd w:val="clear" w:color="auto" w:fill="auto"/>
                </w:tcPr>
                <w:p w14:paraId="34D93EE1" w14:textId="77777777" w:rsidR="004A431B" w:rsidRPr="00B55EC4" w:rsidRDefault="00A7384A" w:rsidP="004A431B">
                  <w:pPr>
                    <w:spacing w:after="0" w:line="240" w:lineRule="auto"/>
                    <w:jc w:val="center"/>
                    <w:rPr>
                      <w:rFonts w:cstheme="minorHAnsi"/>
                    </w:rPr>
                  </w:pPr>
                  <w:r w:rsidRPr="00B55EC4">
                    <w:rPr>
                      <w:rFonts w:cstheme="minorHAnsi"/>
                    </w:rPr>
                    <w:t>Fixed Satellite Services (FSS)</w:t>
                  </w:r>
                </w:p>
              </w:tc>
              <w:tc>
                <w:tcPr>
                  <w:tcW w:w="4783" w:type="dxa"/>
                </w:tcPr>
                <w:p w14:paraId="0D4E199B" w14:textId="77777777" w:rsidR="004A431B" w:rsidRPr="00B55EC4" w:rsidRDefault="004A431B" w:rsidP="004A431B">
                  <w:pPr>
                    <w:spacing w:after="0" w:line="240" w:lineRule="auto"/>
                    <w:jc w:val="center"/>
                    <w:rPr>
                      <w:rFonts w:cstheme="minorHAnsi"/>
                    </w:rPr>
                  </w:pPr>
                </w:p>
              </w:tc>
            </w:tr>
          </w:tbl>
          <w:p w14:paraId="0C667F21" w14:textId="77777777" w:rsidR="004A431B" w:rsidRPr="00B55EC4" w:rsidRDefault="004A431B" w:rsidP="003C1FC9">
            <w:pPr>
              <w:tabs>
                <w:tab w:val="left" w:pos="1134"/>
                <w:tab w:val="left" w:pos="1871"/>
                <w:tab w:val="left" w:pos="2268"/>
              </w:tabs>
              <w:overflowPunct w:val="0"/>
              <w:autoSpaceDE w:val="0"/>
              <w:autoSpaceDN w:val="0"/>
              <w:adjustRightInd w:val="0"/>
              <w:spacing w:after="0" w:line="240" w:lineRule="auto"/>
              <w:jc w:val="both"/>
              <w:textAlignment w:val="baseline"/>
              <w:rPr>
                <w:rFonts w:eastAsia="Times New Roman" w:cstheme="minorHAnsi"/>
                <w:b/>
                <w:bCs/>
              </w:rPr>
            </w:pPr>
            <w:r w:rsidRPr="00B55EC4">
              <w:rPr>
                <w:rFonts w:eastAsia="Times New Roman" w:cstheme="minorHAnsi"/>
                <w:b/>
                <w:bCs/>
              </w:rPr>
              <w:t>Findings of Existing Studies C-Band Uplink @ 6 GHz</w:t>
            </w:r>
          </w:p>
          <w:p w14:paraId="5327C6F7" w14:textId="77777777" w:rsidR="004A431B" w:rsidRPr="00B55EC4" w:rsidRDefault="004A431B" w:rsidP="003C1FC9">
            <w:pPr>
              <w:tabs>
                <w:tab w:val="left" w:pos="1134"/>
                <w:tab w:val="left" w:pos="1871"/>
                <w:tab w:val="left" w:pos="2268"/>
              </w:tabs>
              <w:overflowPunct w:val="0"/>
              <w:autoSpaceDE w:val="0"/>
              <w:autoSpaceDN w:val="0"/>
              <w:adjustRightInd w:val="0"/>
              <w:spacing w:after="0" w:line="240" w:lineRule="auto"/>
              <w:jc w:val="both"/>
              <w:textAlignment w:val="baseline"/>
              <w:rPr>
                <w:rFonts w:eastAsia="Times New Roman" w:cstheme="minorHAnsi"/>
                <w:b/>
                <w:bCs/>
              </w:rPr>
            </w:pPr>
            <w:r w:rsidRPr="00B55EC4">
              <w:rPr>
                <w:rFonts w:eastAsia="Times New Roman" w:cstheme="minorHAnsi"/>
                <w:b/>
                <w:bCs/>
              </w:rPr>
              <w:t xml:space="preserve"> </w:t>
            </w:r>
          </w:p>
          <w:tbl>
            <w:tblPr>
              <w:tblW w:w="9476" w:type="dxa"/>
              <w:tblCellMar>
                <w:left w:w="0" w:type="dxa"/>
                <w:right w:w="0" w:type="dxa"/>
              </w:tblCellMar>
              <w:tblLook w:val="0420" w:firstRow="1" w:lastRow="0" w:firstColumn="0" w:lastColumn="0" w:noHBand="0" w:noVBand="1"/>
            </w:tblPr>
            <w:tblGrid>
              <w:gridCol w:w="2212"/>
              <w:gridCol w:w="3816"/>
              <w:gridCol w:w="3448"/>
            </w:tblGrid>
            <w:tr w:rsidR="004A431B" w:rsidRPr="00B55EC4" w14:paraId="73460578" w14:textId="77777777" w:rsidTr="00E4495B">
              <w:trPr>
                <w:trHeight w:val="178"/>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3808D17D" w14:textId="77777777" w:rsidR="004A431B" w:rsidRPr="00B55EC4" w:rsidRDefault="004A431B" w:rsidP="004A431B">
                  <w:pPr>
                    <w:spacing w:after="0" w:line="240" w:lineRule="auto"/>
                    <w:jc w:val="both"/>
                    <w:rPr>
                      <w:rFonts w:eastAsia="Times New Roman" w:cstheme="minorHAnsi"/>
                      <w:lang w:eastAsia="en-GB"/>
                    </w:rPr>
                  </w:pPr>
                </w:p>
              </w:tc>
              <w:tc>
                <w:tcPr>
                  <w:tcW w:w="381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4559877F" w14:textId="77777777" w:rsidR="004A431B" w:rsidRPr="00B55EC4" w:rsidRDefault="004A431B" w:rsidP="004A431B">
                  <w:pPr>
                    <w:spacing w:after="0" w:line="240" w:lineRule="auto"/>
                    <w:jc w:val="both"/>
                    <w:rPr>
                      <w:rFonts w:eastAsia="Times New Roman" w:cstheme="minorHAnsi"/>
                      <w:lang w:eastAsia="en-GB"/>
                    </w:rPr>
                  </w:pPr>
                  <w:r w:rsidRPr="00B55EC4">
                    <w:rPr>
                      <w:rFonts w:eastAsia="Times New Roman" w:cstheme="minorHAnsi"/>
                      <w:color w:val="000000"/>
                      <w:kern w:val="24"/>
                      <w:lang w:eastAsia="en-GB"/>
                    </w:rPr>
                    <w:t>IMT-Advanced (4G)</w:t>
                  </w:r>
                </w:p>
              </w:tc>
              <w:tc>
                <w:tcPr>
                  <w:tcW w:w="3448"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16AFD9DF" w14:textId="77777777" w:rsidR="004A431B" w:rsidRPr="00B55EC4" w:rsidRDefault="004A431B" w:rsidP="004A431B">
                  <w:pPr>
                    <w:spacing w:after="0" w:line="240" w:lineRule="auto"/>
                    <w:jc w:val="both"/>
                    <w:rPr>
                      <w:rFonts w:eastAsia="Times New Roman" w:cstheme="minorHAnsi"/>
                      <w:lang w:eastAsia="en-GB"/>
                    </w:rPr>
                  </w:pPr>
                  <w:r w:rsidRPr="00B55EC4">
                    <w:rPr>
                      <w:rFonts w:eastAsia="Times New Roman" w:cstheme="minorHAnsi"/>
                      <w:color w:val="000000"/>
                      <w:kern w:val="24"/>
                      <w:lang w:eastAsia="en-GB"/>
                    </w:rPr>
                    <w:t>IMT-2020 (5G)</w:t>
                  </w:r>
                </w:p>
              </w:tc>
            </w:tr>
            <w:tr w:rsidR="004A431B" w:rsidRPr="00B55EC4" w14:paraId="5ADE1F3D" w14:textId="77777777" w:rsidTr="00A7384A">
              <w:trPr>
                <w:trHeight w:val="209"/>
              </w:trPr>
              <w:tc>
                <w:tcPr>
                  <w:tcW w:w="2212"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04CB50B" w14:textId="77777777" w:rsidR="004A431B" w:rsidRPr="00B55EC4" w:rsidRDefault="004A431B" w:rsidP="004A431B">
                  <w:pPr>
                    <w:spacing w:after="0" w:line="240" w:lineRule="auto"/>
                    <w:jc w:val="both"/>
                    <w:rPr>
                      <w:rFonts w:eastAsia="Times New Roman" w:cstheme="minorHAnsi"/>
                      <w:lang w:eastAsia="en-GB"/>
                    </w:rPr>
                  </w:pPr>
                  <w:r w:rsidRPr="00B55EC4">
                    <w:rPr>
                      <w:rFonts w:eastAsia="Times New Roman" w:cstheme="minorHAnsi"/>
                      <w:color w:val="000000"/>
                      <w:kern w:val="24"/>
                      <w:lang w:eastAsia="en-GB"/>
                    </w:rPr>
                    <w:t>ITU studies</w:t>
                  </w:r>
                </w:p>
              </w:tc>
              <w:tc>
                <w:tcPr>
                  <w:tcW w:w="3816"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79CA48ED" w14:textId="77777777" w:rsidR="004A431B" w:rsidRPr="00B55EC4" w:rsidRDefault="004A431B" w:rsidP="004A431B">
                  <w:pPr>
                    <w:spacing w:after="0" w:line="240" w:lineRule="auto"/>
                    <w:jc w:val="both"/>
                    <w:rPr>
                      <w:rFonts w:eastAsia="Times New Roman" w:cstheme="minorHAnsi"/>
                      <w:lang w:eastAsia="en-GB"/>
                    </w:rPr>
                  </w:pPr>
                  <w:r w:rsidRPr="00B55EC4">
                    <w:rPr>
                      <w:rFonts w:eastAsia="Times New Roman" w:cstheme="minorHAnsi"/>
                      <w:color w:val="000000"/>
                      <w:kern w:val="24"/>
                      <w:lang w:eastAsia="en-GB"/>
                    </w:rPr>
                    <w:t>Report ITU-R S.2367</w:t>
                  </w:r>
                </w:p>
              </w:tc>
              <w:tc>
                <w:tcPr>
                  <w:tcW w:w="3448" w:type="dxa"/>
                  <w:tcBorders>
                    <w:top w:val="single" w:sz="8" w:space="0" w:color="000000"/>
                    <w:left w:val="single" w:sz="8" w:space="0" w:color="000000"/>
                    <w:bottom w:val="single" w:sz="8" w:space="0" w:color="000000"/>
                    <w:right w:val="single" w:sz="8" w:space="0" w:color="000000"/>
                  </w:tcBorders>
                  <w:shd w:val="clear" w:color="auto" w:fill="auto"/>
                  <w:tcMar>
                    <w:top w:w="54" w:type="dxa"/>
                    <w:left w:w="108" w:type="dxa"/>
                    <w:bottom w:w="54" w:type="dxa"/>
                    <w:right w:w="108" w:type="dxa"/>
                  </w:tcMar>
                  <w:hideMark/>
                </w:tcPr>
                <w:p w14:paraId="605C9572" w14:textId="77777777" w:rsidR="004A431B" w:rsidRPr="00B55EC4" w:rsidRDefault="004A431B" w:rsidP="004A431B">
                  <w:pPr>
                    <w:spacing w:after="0" w:line="240" w:lineRule="auto"/>
                    <w:jc w:val="both"/>
                    <w:rPr>
                      <w:rFonts w:eastAsia="Times New Roman" w:cstheme="minorHAnsi"/>
                      <w:lang w:eastAsia="en-GB"/>
                    </w:rPr>
                  </w:pPr>
                  <w:r w:rsidRPr="00B55EC4">
                    <w:rPr>
                      <w:rFonts w:eastAsia="Times New Roman" w:cstheme="minorHAnsi"/>
                      <w:color w:val="000000"/>
                      <w:kern w:val="24"/>
                      <w:lang w:eastAsia="en-GB"/>
                    </w:rPr>
                    <w:t>To be done under AI 1.2</w:t>
                  </w:r>
                </w:p>
              </w:tc>
            </w:tr>
          </w:tbl>
          <w:p w14:paraId="1661456C" w14:textId="77777777" w:rsidR="004A431B" w:rsidRPr="00B55EC4" w:rsidRDefault="004A431B" w:rsidP="004A431B">
            <w:pPr>
              <w:tabs>
                <w:tab w:val="left" w:pos="1134"/>
                <w:tab w:val="left" w:pos="1871"/>
                <w:tab w:val="left" w:pos="2268"/>
              </w:tabs>
              <w:overflowPunct w:val="0"/>
              <w:autoSpaceDE w:val="0"/>
              <w:autoSpaceDN w:val="0"/>
              <w:adjustRightInd w:val="0"/>
              <w:spacing w:before="120" w:after="0" w:line="240" w:lineRule="auto"/>
              <w:jc w:val="both"/>
              <w:textAlignment w:val="baseline"/>
              <w:rPr>
                <w:rFonts w:eastAsia="Times New Roman" w:cstheme="minorHAnsi"/>
              </w:rPr>
            </w:pPr>
            <w:r w:rsidRPr="00B55EC4">
              <w:rPr>
                <w:rFonts w:eastAsia="Times New Roman" w:cstheme="minorHAnsi"/>
              </w:rPr>
              <w:lastRenderedPageBreak/>
              <w:t xml:space="preserve">ITU-R studies Report S.2367 to date have been carried out in the adjacent band 5925 – 6425 MHz between IMT-Advanced (4G) and FSS. FSS characteristics used in </w:t>
            </w:r>
            <w:hyperlink r:id="rId8" w:history="1">
              <w:r w:rsidRPr="00B55EC4">
                <w:rPr>
                  <w:rFonts w:eastAsia="Times New Roman" w:cstheme="minorHAnsi"/>
                  <w:color w:val="0000FF"/>
                  <w:u w:val="single"/>
                </w:rPr>
                <w:t>ITU-R Report S.2367</w:t>
              </w:r>
            </w:hyperlink>
            <w:r w:rsidRPr="00B55EC4">
              <w:rPr>
                <w:rFonts w:eastAsia="Times New Roman" w:cstheme="minorHAnsi"/>
              </w:rPr>
              <w:t xml:space="preserve"> are similar to those in the adjacent band 6425 to 6575 </w:t>
            </w:r>
            <w:proofErr w:type="spellStart"/>
            <w:r w:rsidRPr="00B55EC4">
              <w:rPr>
                <w:rFonts w:eastAsia="Times New Roman" w:cstheme="minorHAnsi"/>
              </w:rPr>
              <w:t>MHz.</w:t>
            </w:r>
            <w:proofErr w:type="spellEnd"/>
            <w:r w:rsidRPr="00B55EC4">
              <w:rPr>
                <w:rFonts w:eastAsia="Times New Roman" w:cstheme="minorHAnsi"/>
              </w:rPr>
              <w:t xml:space="preserve">    </w:t>
            </w:r>
          </w:p>
          <w:p w14:paraId="2CB1070B" w14:textId="77777777" w:rsidR="003C1FC9" w:rsidRPr="00B55EC4" w:rsidRDefault="003C1FC9" w:rsidP="003C1FC9">
            <w:pPr>
              <w:spacing w:after="0" w:line="240" w:lineRule="auto"/>
              <w:jc w:val="both"/>
              <w:rPr>
                <w:rFonts w:eastAsia="Times New Roman" w:cstheme="minorHAnsi"/>
                <w:lang w:eastAsia="en-GB"/>
              </w:rPr>
            </w:pPr>
          </w:p>
          <w:p w14:paraId="1E67FD6D" w14:textId="77777777" w:rsidR="004A431B" w:rsidRPr="00B55EC4" w:rsidRDefault="004A431B" w:rsidP="003C1FC9">
            <w:pPr>
              <w:spacing w:after="0" w:line="240" w:lineRule="auto"/>
              <w:jc w:val="both"/>
              <w:rPr>
                <w:rFonts w:eastAsia="SimSun" w:cstheme="minorHAnsi"/>
                <w:color w:val="000000"/>
                <w:kern w:val="24"/>
                <w:lang w:eastAsia="en-GB"/>
              </w:rPr>
            </w:pPr>
            <w:r w:rsidRPr="00B55EC4">
              <w:rPr>
                <w:rFonts w:eastAsia="Times New Roman" w:cstheme="minorHAnsi"/>
                <w:lang w:eastAsia="en-GB"/>
              </w:rPr>
              <w:t xml:space="preserve">The existing studies </w:t>
            </w:r>
            <w:r w:rsidRPr="00B55EC4">
              <w:rPr>
                <w:rFonts w:eastAsia="SimSun" w:cstheme="minorHAnsi"/>
                <w:color w:val="000000"/>
                <w:kern w:val="24"/>
                <w:lang w:eastAsia="en-GB"/>
              </w:rPr>
              <w:t xml:space="preserve">conducted by the ITU-R for the frequency range 5 850-6 425 MHz as outlined in the Report ITU-R S.2367 are </w:t>
            </w:r>
            <w:r w:rsidRPr="00B55EC4">
              <w:rPr>
                <w:rFonts w:eastAsia="Times New Roman" w:cstheme="minorHAnsi"/>
                <w:lang w:eastAsia="en-GB"/>
              </w:rPr>
              <w:t>related to IMT-Advanced and show minimal potential for IMT operations whilst protecting FSS uplinks. The s</w:t>
            </w:r>
            <w:r w:rsidRPr="00B55EC4">
              <w:rPr>
                <w:rFonts w:eastAsia="SimSun" w:cstheme="minorHAnsi"/>
                <w:color w:val="000000"/>
                <w:kern w:val="24"/>
                <w:lang w:eastAsia="en-GB"/>
              </w:rPr>
              <w:t xml:space="preserve">tudies concluded that FSS space receivers would be </w:t>
            </w:r>
            <w:r w:rsidRPr="00B55EC4">
              <w:rPr>
                <w:rFonts w:eastAsia="SimSun" w:cstheme="minorHAnsi"/>
                <w:b/>
                <w:bCs/>
                <w:color w:val="000000"/>
                <w:kern w:val="24"/>
                <w:lang w:eastAsia="en-GB"/>
              </w:rPr>
              <w:t xml:space="preserve">subjected to excessive interference </w:t>
            </w:r>
            <w:r w:rsidRPr="00B55EC4">
              <w:rPr>
                <w:rFonts w:eastAsia="SimSun" w:cstheme="minorHAnsi"/>
                <w:color w:val="000000"/>
                <w:kern w:val="24"/>
                <w:lang w:eastAsia="en-GB"/>
              </w:rPr>
              <w:t xml:space="preserve">from the aggregate operation of IMT base stations, irrespective of whether they are deployed outdoors or indoors. It was stated that necessary conditions for deployment of IMT systems would include indoor and strict limits </w:t>
            </w:r>
            <w:r w:rsidRPr="00B55EC4">
              <w:rPr>
                <w:rFonts w:eastAsia="Times New Roman" w:cstheme="minorHAnsi"/>
                <w:lang w:eastAsia="en-GB"/>
              </w:rPr>
              <w:t xml:space="preserve">(indoor use only, 10-15 dBm e.i.r.p. limit necessary) </w:t>
            </w:r>
            <w:r w:rsidRPr="00B55EC4">
              <w:rPr>
                <w:rFonts w:eastAsia="SimSun" w:cstheme="minorHAnsi"/>
                <w:color w:val="000000"/>
                <w:kern w:val="24"/>
                <w:lang w:eastAsia="en-GB"/>
              </w:rPr>
              <w:t>on maximum allowable e.i.r.p. for IMT stations.</w:t>
            </w:r>
          </w:p>
          <w:p w14:paraId="1671FC91" w14:textId="77777777" w:rsidR="004A431B" w:rsidRPr="00B55EC4" w:rsidRDefault="004A431B" w:rsidP="003C1FC9">
            <w:pPr>
              <w:spacing w:after="0" w:line="240" w:lineRule="auto"/>
              <w:jc w:val="both"/>
              <w:rPr>
                <w:rFonts w:eastAsia="SimSun" w:cstheme="minorHAnsi"/>
                <w:color w:val="000000"/>
                <w:kern w:val="24"/>
                <w:lang w:eastAsia="en-GB"/>
              </w:rPr>
            </w:pPr>
          </w:p>
          <w:p w14:paraId="2DF30278" w14:textId="77777777" w:rsidR="004A1AF3" w:rsidRPr="00B55EC4" w:rsidRDefault="004A431B" w:rsidP="003C1FC9">
            <w:pPr>
              <w:spacing w:after="0" w:line="240" w:lineRule="auto"/>
              <w:jc w:val="both"/>
              <w:rPr>
                <w:rFonts w:eastAsia="Times New Roman" w:cstheme="minorHAnsi"/>
                <w:lang w:eastAsia="en-GB"/>
              </w:rPr>
            </w:pPr>
            <w:r w:rsidRPr="00B55EC4">
              <w:rPr>
                <w:rFonts w:eastAsia="Times New Roman" w:cstheme="minorHAnsi"/>
                <w:lang w:eastAsia="en-GB"/>
              </w:rPr>
              <w:t xml:space="preserve">Studies conducted by CEPT </w:t>
            </w:r>
            <w:r w:rsidRPr="00B55EC4">
              <w:rPr>
                <w:rFonts w:eastAsia="SimSun" w:cstheme="minorHAnsi"/>
                <w:color w:val="000000"/>
                <w:kern w:val="24"/>
                <w:lang w:eastAsia="en-GB"/>
              </w:rPr>
              <w:t xml:space="preserve">between RLAN and FSS as outlined in the </w:t>
            </w:r>
            <w:hyperlink r:id="rId9" w:history="1">
              <w:r w:rsidRPr="00B55EC4">
                <w:rPr>
                  <w:rFonts w:eastAsia="SimSun" w:cstheme="minorHAnsi"/>
                  <w:color w:val="0000FF"/>
                  <w:kern w:val="24"/>
                  <w:u w:val="single"/>
                  <w:lang w:eastAsia="en-GB"/>
                </w:rPr>
                <w:t>ECC report 302</w:t>
              </w:r>
            </w:hyperlink>
            <w:r w:rsidRPr="00B55EC4">
              <w:rPr>
                <w:rFonts w:eastAsia="SimSun" w:cstheme="minorHAnsi"/>
                <w:color w:val="000000"/>
                <w:kern w:val="24"/>
                <w:lang w:eastAsia="en-GB"/>
              </w:rPr>
              <w:t xml:space="preserve"> in the adjacent frequency range 5 925-6 425 MHz indicated that outdoor usage of RLANs is not feasible without causing interference FSS satellite receivers. Studies were done for a representative set of satellites currently in operation, some of which operate above 6 425 </w:t>
            </w:r>
            <w:proofErr w:type="spellStart"/>
            <w:r w:rsidRPr="00B55EC4">
              <w:rPr>
                <w:rFonts w:eastAsia="SimSun" w:cstheme="minorHAnsi"/>
                <w:color w:val="000000"/>
                <w:kern w:val="24"/>
                <w:lang w:eastAsia="en-GB"/>
              </w:rPr>
              <w:t>MHz.</w:t>
            </w:r>
            <w:proofErr w:type="spellEnd"/>
            <w:r w:rsidRPr="00B55EC4">
              <w:rPr>
                <w:rFonts w:eastAsia="SimSun" w:cstheme="minorHAnsi"/>
                <w:color w:val="000000"/>
                <w:kern w:val="24"/>
                <w:lang w:eastAsia="en-GB"/>
              </w:rPr>
              <w:t xml:space="preserve"> These studies </w:t>
            </w:r>
            <w:r w:rsidRPr="00B55EC4">
              <w:rPr>
                <w:rFonts w:eastAsia="Times New Roman" w:cstheme="minorHAnsi"/>
                <w:lang w:eastAsia="en-GB"/>
              </w:rPr>
              <w:t>conducted so far in Europe show that sharing with unlicensed Wi</w:t>
            </w:r>
            <w:r w:rsidR="00FE09C2" w:rsidRPr="00B55EC4">
              <w:rPr>
                <w:rFonts w:eastAsia="Times New Roman" w:cstheme="minorHAnsi"/>
                <w:lang w:eastAsia="en-GB"/>
              </w:rPr>
              <w:t>-Fi indoor systems could be</w:t>
            </w:r>
            <w:r w:rsidRPr="00B55EC4">
              <w:rPr>
                <w:rFonts w:eastAsia="Times New Roman" w:cstheme="minorHAnsi"/>
                <w:lang w:eastAsia="en-GB"/>
              </w:rPr>
              <w:t xml:space="preserve"> feasible with FSS</w:t>
            </w:r>
            <w:r w:rsidR="00FE09C2" w:rsidRPr="00B55EC4">
              <w:rPr>
                <w:rFonts w:eastAsia="Times New Roman" w:cstheme="minorHAnsi"/>
                <w:lang w:eastAsia="en-GB"/>
              </w:rPr>
              <w:t>.</w:t>
            </w:r>
          </w:p>
          <w:p w14:paraId="5EB28D7C" w14:textId="77777777" w:rsidR="004A431B" w:rsidRPr="00B55EC4" w:rsidRDefault="004A431B" w:rsidP="004A431B">
            <w:pPr>
              <w:spacing w:after="0" w:line="240" w:lineRule="auto"/>
              <w:jc w:val="both"/>
              <w:rPr>
                <w:rFonts w:eastAsia="Times New Roman" w:cstheme="minorHAnsi"/>
                <w:lang w:val="en-US" w:eastAsia="en-GB"/>
              </w:rPr>
            </w:pPr>
          </w:p>
          <w:p w14:paraId="02EAAA5D" w14:textId="77777777" w:rsidR="004A431B" w:rsidRPr="00B55EC4" w:rsidRDefault="004A431B" w:rsidP="004A431B">
            <w:pPr>
              <w:spacing w:after="0" w:line="240" w:lineRule="auto"/>
              <w:jc w:val="both"/>
              <w:rPr>
                <w:rFonts w:eastAsia="Times New Roman" w:cstheme="minorHAnsi"/>
                <w:lang w:val="en-US"/>
              </w:rPr>
            </w:pPr>
          </w:p>
        </w:tc>
      </w:tr>
      <w:tr w:rsidR="004A1AF3" w:rsidRPr="00B55EC4" w14:paraId="28DB48CE" w14:textId="77777777" w:rsidTr="00E4495B">
        <w:tc>
          <w:tcPr>
            <w:tcW w:w="9576" w:type="dxa"/>
          </w:tcPr>
          <w:p w14:paraId="46759B80" w14:textId="77777777" w:rsidR="004A1AF3" w:rsidRPr="00B55EC4" w:rsidRDefault="004A1AF3" w:rsidP="004A1AF3">
            <w:pPr>
              <w:spacing w:after="0" w:line="240" w:lineRule="auto"/>
              <w:rPr>
                <w:rFonts w:eastAsia="Times New Roman" w:cstheme="minorHAnsi"/>
                <w:b/>
                <w:i/>
                <w:color w:val="00B050"/>
                <w:spacing w:val="60"/>
                <w:lang w:val="en-US"/>
              </w:rPr>
            </w:pPr>
            <w:r w:rsidRPr="00B55EC4">
              <w:rPr>
                <w:rFonts w:eastAsia="Times New Roman" w:cstheme="minorHAnsi"/>
                <w:b/>
                <w:i/>
                <w:color w:val="00B050"/>
                <w:spacing w:val="60"/>
                <w:lang w:val="en-US"/>
              </w:rPr>
              <w:lastRenderedPageBreak/>
              <w:t>Part D: Conclusion of the results of studies, if any</w:t>
            </w:r>
          </w:p>
        </w:tc>
      </w:tr>
      <w:tr w:rsidR="004A1AF3" w:rsidRPr="00B55EC4" w14:paraId="49796A97" w14:textId="77777777" w:rsidTr="00E4495B">
        <w:trPr>
          <w:trHeight w:val="1151"/>
        </w:trPr>
        <w:tc>
          <w:tcPr>
            <w:tcW w:w="9576" w:type="dxa"/>
          </w:tcPr>
          <w:p w14:paraId="7F84CF5D" w14:textId="77777777" w:rsidR="004A431B" w:rsidRPr="00B55EC4" w:rsidRDefault="004A431B" w:rsidP="004A1AF3">
            <w:pPr>
              <w:spacing w:after="0" w:line="240" w:lineRule="auto"/>
              <w:jc w:val="both"/>
              <w:rPr>
                <w:rFonts w:eastAsia="Times New Roman" w:cstheme="minorHAnsi"/>
                <w:iCs/>
                <w:lang w:eastAsia="hi-IN" w:bidi="hi-IN"/>
              </w:rPr>
            </w:pPr>
            <w:r w:rsidRPr="00B55EC4">
              <w:rPr>
                <w:rFonts w:cstheme="minorHAnsi"/>
              </w:rPr>
              <w:t>ITU-R sharing and compatibility studies have not yet started as the group is still waiting for technical and operational characteristics of services operating in the bands under AI 1.2.</w:t>
            </w:r>
            <w:r w:rsidR="003B3E87" w:rsidRPr="00B55EC4">
              <w:rPr>
                <w:rFonts w:cstheme="minorHAnsi"/>
              </w:rPr>
              <w:t xml:space="preserve"> WP5D is expected to start studies at its next meeting in </w:t>
            </w:r>
            <w:r w:rsidR="003B3E87" w:rsidRPr="00B55EC4">
              <w:rPr>
                <w:rFonts w:cstheme="minorHAnsi"/>
                <w:b/>
              </w:rPr>
              <w:t>October 2021</w:t>
            </w:r>
            <w:r w:rsidR="003B3E87" w:rsidRPr="00B55EC4">
              <w:rPr>
                <w:rFonts w:cstheme="minorHAnsi"/>
              </w:rPr>
              <w:t>.</w:t>
            </w:r>
          </w:p>
          <w:p w14:paraId="25141C65" w14:textId="77777777" w:rsidR="004A1AF3" w:rsidRPr="00B55EC4" w:rsidRDefault="004A1AF3" w:rsidP="004A1AF3">
            <w:pPr>
              <w:spacing w:after="0" w:line="240" w:lineRule="auto"/>
              <w:jc w:val="both"/>
              <w:rPr>
                <w:rFonts w:eastAsia="Times New Roman" w:cstheme="minorHAnsi"/>
                <w:iCs/>
                <w:lang w:eastAsia="hi-IN" w:bidi="hi-IN"/>
              </w:rPr>
            </w:pPr>
          </w:p>
          <w:p w14:paraId="0F92210A" w14:textId="77777777" w:rsidR="004D27B9" w:rsidRPr="00B55EC4" w:rsidRDefault="004D27B9" w:rsidP="004A1AF3">
            <w:pPr>
              <w:spacing w:after="0" w:line="240" w:lineRule="auto"/>
              <w:jc w:val="both"/>
              <w:rPr>
                <w:rFonts w:cstheme="minorHAnsi"/>
                <w:iCs/>
              </w:rPr>
            </w:pPr>
            <w:r w:rsidRPr="00B55EC4">
              <w:rPr>
                <w:rFonts w:cstheme="minorHAnsi"/>
                <w:iCs/>
              </w:rPr>
              <w:t xml:space="preserve">Administrations </w:t>
            </w:r>
            <w:r w:rsidR="00AD057D" w:rsidRPr="00B55EC4">
              <w:rPr>
                <w:rFonts w:cstheme="minorHAnsi"/>
                <w:iCs/>
              </w:rPr>
              <w:t xml:space="preserve">to </w:t>
            </w:r>
            <w:r w:rsidRPr="00B55EC4">
              <w:rPr>
                <w:rFonts w:cstheme="minorHAnsi"/>
                <w:iCs/>
              </w:rPr>
              <w:t xml:space="preserve">examine possible scenarios and try to find possible conditions under which it is possible to co-exist between IMT and </w:t>
            </w:r>
            <w:r w:rsidR="00AD057D" w:rsidRPr="00B55EC4">
              <w:rPr>
                <w:rFonts w:cstheme="minorHAnsi"/>
                <w:iCs/>
              </w:rPr>
              <w:t xml:space="preserve">FSS in the uplink band and </w:t>
            </w:r>
            <w:r w:rsidRPr="00B55EC4">
              <w:rPr>
                <w:rFonts w:cstheme="minorHAnsi"/>
                <w:iCs/>
              </w:rPr>
              <w:t>provide input to the future EACO and ATU WG or APM meetings as to their findings.</w:t>
            </w:r>
          </w:p>
          <w:p w14:paraId="740A4802" w14:textId="77777777" w:rsidR="003B3E87" w:rsidRPr="00B55EC4" w:rsidRDefault="004D27B9" w:rsidP="004A1AF3">
            <w:pPr>
              <w:spacing w:after="0" w:line="240" w:lineRule="auto"/>
              <w:jc w:val="both"/>
              <w:rPr>
                <w:rFonts w:eastAsia="Times New Roman" w:cstheme="minorHAnsi"/>
                <w:lang w:val="en-US"/>
              </w:rPr>
            </w:pPr>
            <w:r w:rsidRPr="00B55EC4">
              <w:rPr>
                <w:rFonts w:cstheme="minorHAnsi"/>
                <w:iCs/>
              </w:rPr>
              <w:t xml:space="preserve">  </w:t>
            </w:r>
          </w:p>
        </w:tc>
      </w:tr>
      <w:tr w:rsidR="004A1AF3" w:rsidRPr="00B55EC4" w14:paraId="2324DCB4" w14:textId="77777777" w:rsidTr="00E4495B">
        <w:tc>
          <w:tcPr>
            <w:tcW w:w="9576" w:type="dxa"/>
          </w:tcPr>
          <w:p w14:paraId="51FAF20E" w14:textId="77777777" w:rsidR="004A1AF3" w:rsidRPr="00B55EC4" w:rsidRDefault="004A1AF3" w:rsidP="004A1AF3">
            <w:pPr>
              <w:spacing w:after="0" w:line="240" w:lineRule="auto"/>
              <w:rPr>
                <w:rFonts w:eastAsia="Times New Roman" w:cstheme="minorHAnsi"/>
                <w:b/>
                <w:i/>
                <w:color w:val="00B050"/>
                <w:spacing w:val="60"/>
                <w:lang w:val="en-US"/>
              </w:rPr>
            </w:pPr>
            <w:r w:rsidRPr="00B55EC4">
              <w:rPr>
                <w:rFonts w:eastAsia="Times New Roman" w:cstheme="minorHAnsi"/>
                <w:b/>
                <w:i/>
                <w:color w:val="00B050"/>
                <w:spacing w:val="60"/>
                <w:lang w:val="en-US"/>
              </w:rPr>
              <w:t>Part E: Options and Associated Implications</w:t>
            </w:r>
          </w:p>
        </w:tc>
      </w:tr>
      <w:tr w:rsidR="004A1AF3" w:rsidRPr="00B55EC4" w14:paraId="5AF5BBD2" w14:textId="77777777" w:rsidTr="00E4495B">
        <w:trPr>
          <w:trHeight w:val="1151"/>
        </w:trPr>
        <w:tc>
          <w:tcPr>
            <w:tcW w:w="9576" w:type="dxa"/>
          </w:tcPr>
          <w:p w14:paraId="5833A228" w14:textId="77777777" w:rsidR="004A1AF3" w:rsidRPr="00B55EC4" w:rsidRDefault="004A1AF3" w:rsidP="004A1AF3">
            <w:pPr>
              <w:spacing w:after="0" w:line="240" w:lineRule="auto"/>
              <w:jc w:val="both"/>
              <w:rPr>
                <w:rFonts w:eastAsia="Times New Roman" w:cstheme="minorHAnsi"/>
                <w:iCs/>
                <w:lang w:eastAsia="hi-IN" w:bidi="hi-IN"/>
              </w:rPr>
            </w:pPr>
          </w:p>
          <w:p w14:paraId="4FE0BE49" w14:textId="77777777" w:rsidR="003B3E87" w:rsidRPr="00B55EC4" w:rsidRDefault="003B3E87" w:rsidP="003B3E87">
            <w:pPr>
              <w:keepNext/>
              <w:keepLines/>
              <w:tabs>
                <w:tab w:val="left" w:pos="1134"/>
                <w:tab w:val="left" w:pos="1871"/>
                <w:tab w:val="left" w:pos="2268"/>
              </w:tabs>
              <w:overflowPunct w:val="0"/>
              <w:autoSpaceDE w:val="0"/>
              <w:autoSpaceDN w:val="0"/>
              <w:adjustRightInd w:val="0"/>
              <w:spacing w:after="0" w:line="240" w:lineRule="auto"/>
              <w:jc w:val="both"/>
              <w:textAlignment w:val="baseline"/>
              <w:outlineLvl w:val="0"/>
              <w:rPr>
                <w:rFonts w:eastAsia="Times New Roman" w:cstheme="minorHAnsi"/>
                <w:b/>
                <w:lang w:eastAsia="zh-CN"/>
              </w:rPr>
            </w:pPr>
            <w:r w:rsidRPr="00B55EC4">
              <w:rPr>
                <w:rFonts w:eastAsia="Times New Roman" w:cstheme="minorHAnsi"/>
                <w:b/>
                <w:lang w:eastAsia="zh-CN"/>
              </w:rPr>
              <w:t>Other Considerations Appendix 30B</w:t>
            </w:r>
          </w:p>
          <w:p w14:paraId="7BF0C39E" w14:textId="77777777" w:rsidR="003B3E87" w:rsidRPr="00B55EC4" w:rsidRDefault="003B3E87" w:rsidP="003B3E87">
            <w:pPr>
              <w:spacing w:after="0" w:line="240" w:lineRule="auto"/>
              <w:rPr>
                <w:rFonts w:eastAsia="Times New Roman" w:cstheme="minorHAnsi"/>
                <w:b/>
                <w:i/>
                <w:color w:val="00B050"/>
                <w:spacing w:val="60"/>
                <w:lang w:val="en-US"/>
              </w:rPr>
            </w:pPr>
            <w:r w:rsidRPr="00B55EC4">
              <w:rPr>
                <w:rFonts w:eastAsia="Times New Roman" w:cstheme="minorHAnsi"/>
              </w:rPr>
              <w:t xml:space="preserve">The frequency band 6 725-7 025 MHz in Region 1 is subject to the provisions and associated Plan for the fixed-satellite service of Appendix </w:t>
            </w:r>
            <w:r w:rsidRPr="00B55EC4">
              <w:rPr>
                <w:rFonts w:eastAsia="Times New Roman" w:cstheme="minorHAnsi"/>
                <w:b/>
                <w:bCs/>
              </w:rPr>
              <w:t>30B</w:t>
            </w:r>
            <w:r w:rsidRPr="00B55EC4">
              <w:rPr>
                <w:rFonts w:eastAsia="Times New Roman" w:cstheme="minorHAnsi"/>
              </w:rPr>
              <w:t xml:space="preserve"> of the Radio Regulations. Articles 1 and 2 of Appendix </w:t>
            </w:r>
            <w:r w:rsidRPr="00B55EC4">
              <w:rPr>
                <w:rFonts w:eastAsia="Times New Roman" w:cstheme="minorHAnsi"/>
                <w:b/>
              </w:rPr>
              <w:t>30B</w:t>
            </w:r>
            <w:r w:rsidRPr="00B55EC4">
              <w:rPr>
                <w:rFonts w:eastAsia="Times New Roman" w:cstheme="minorHAnsi"/>
              </w:rPr>
              <w:t xml:space="preserve"> selected this band in 1985 to guarantee, for all countries, equitable access to the geostationary-satellite orbit in the frequency bands of the fixed-satellite service. Therefore, African Administrations received rights to operate this band over their territory without time limits. The List associated with the Plan contain assignments resulting from the successful application of the provisions of Article 6 of Appendix 30B or the implementation of Resolution 148 (WRC-07). The Plan contains all national allotments of all countries and needs particular attention due to the super-status of the Plan with regards to the List and other services</w:t>
            </w:r>
            <w:r w:rsidRPr="00B55EC4">
              <w:rPr>
                <w:rFonts w:eastAsia="Times New Roman" w:cstheme="minorHAnsi"/>
                <w:bCs/>
              </w:rPr>
              <w:t xml:space="preserve">. </w:t>
            </w:r>
          </w:p>
          <w:p w14:paraId="5E8D8114" w14:textId="77777777" w:rsidR="003B3E87" w:rsidRPr="00B55EC4" w:rsidRDefault="003B3E87" w:rsidP="003B3E87">
            <w:pPr>
              <w:tabs>
                <w:tab w:val="left" w:pos="1134"/>
                <w:tab w:val="left" w:pos="1871"/>
                <w:tab w:val="left" w:pos="2268"/>
              </w:tabs>
              <w:overflowPunct w:val="0"/>
              <w:autoSpaceDE w:val="0"/>
              <w:autoSpaceDN w:val="0"/>
              <w:adjustRightInd w:val="0"/>
              <w:spacing w:after="0" w:line="240" w:lineRule="auto"/>
              <w:jc w:val="both"/>
              <w:textAlignment w:val="baseline"/>
              <w:rPr>
                <w:rFonts w:eastAsia="Times New Roman" w:cstheme="minorHAnsi"/>
                <w:b/>
                <w:bCs/>
                <w:lang w:val="en-US"/>
              </w:rPr>
            </w:pPr>
          </w:p>
          <w:p w14:paraId="759DBFB1" w14:textId="77777777" w:rsidR="003B3E87" w:rsidRPr="00B55EC4" w:rsidRDefault="003B3E87" w:rsidP="003B3E87">
            <w:pPr>
              <w:keepNext/>
              <w:keepLines/>
              <w:tabs>
                <w:tab w:val="left" w:pos="1134"/>
                <w:tab w:val="left" w:pos="1871"/>
                <w:tab w:val="left" w:pos="2268"/>
              </w:tabs>
              <w:overflowPunct w:val="0"/>
              <w:autoSpaceDE w:val="0"/>
              <w:autoSpaceDN w:val="0"/>
              <w:adjustRightInd w:val="0"/>
              <w:spacing w:after="0" w:line="240" w:lineRule="auto"/>
              <w:ind w:left="1134" w:hanging="1134"/>
              <w:jc w:val="both"/>
              <w:textAlignment w:val="baseline"/>
              <w:outlineLvl w:val="0"/>
              <w:rPr>
                <w:rFonts w:eastAsia="Times New Roman" w:cstheme="minorHAnsi"/>
                <w:b/>
                <w:lang w:eastAsia="zh-CN"/>
              </w:rPr>
            </w:pPr>
            <w:r w:rsidRPr="00B55EC4">
              <w:rPr>
                <w:rFonts w:eastAsia="Times New Roman" w:cstheme="minorHAnsi"/>
                <w:b/>
                <w:lang w:eastAsia="zh-CN"/>
              </w:rPr>
              <w:t xml:space="preserve">Strategic use of 6 GHz band for Wi-Fi </w:t>
            </w:r>
          </w:p>
          <w:p w14:paraId="3FCFEAED" w14:textId="77777777" w:rsidR="003B3E87" w:rsidRPr="00B55EC4" w:rsidRDefault="00381698" w:rsidP="003B3E87">
            <w:pPr>
              <w:tabs>
                <w:tab w:val="left" w:pos="1134"/>
                <w:tab w:val="left" w:pos="1871"/>
                <w:tab w:val="left" w:pos="2268"/>
              </w:tabs>
              <w:overflowPunct w:val="0"/>
              <w:autoSpaceDE w:val="0"/>
              <w:autoSpaceDN w:val="0"/>
              <w:adjustRightInd w:val="0"/>
              <w:spacing w:after="0" w:line="240" w:lineRule="auto"/>
              <w:jc w:val="both"/>
              <w:textAlignment w:val="baseline"/>
              <w:rPr>
                <w:rFonts w:eastAsia="Times New Roman" w:cstheme="minorHAnsi"/>
                <w:b/>
                <w:bCs/>
                <w:lang w:val="en-US"/>
              </w:rPr>
            </w:pPr>
            <w:r w:rsidRPr="00B55EC4">
              <w:rPr>
                <w:rFonts w:eastAsia="Times New Roman" w:cstheme="minorHAnsi"/>
                <w:lang w:eastAsia="zh-CN"/>
              </w:rPr>
              <w:t>It is noted that there is</w:t>
            </w:r>
            <w:r w:rsidR="003B3E87" w:rsidRPr="00B55EC4">
              <w:rPr>
                <w:rFonts w:eastAsia="Times New Roman" w:cstheme="minorHAnsi"/>
                <w:lang w:eastAsia="zh-CN"/>
              </w:rPr>
              <w:t xml:space="preserve"> growing demand for Wi-Fi connectivity and even mobile operators' use of Wi-Fi to offload a substantial amount of their traffic in urban environments. Administrations </w:t>
            </w:r>
            <w:r w:rsidRPr="00B55EC4">
              <w:rPr>
                <w:rFonts w:eastAsia="Times New Roman" w:cstheme="minorHAnsi"/>
                <w:lang w:eastAsia="zh-CN"/>
              </w:rPr>
              <w:t>may therefore need to balance</w:t>
            </w:r>
            <w:r w:rsidR="00B00E39" w:rsidRPr="00B55EC4">
              <w:rPr>
                <w:rFonts w:eastAsia="Times New Roman" w:cstheme="minorHAnsi"/>
                <w:lang w:eastAsia="zh-CN"/>
              </w:rPr>
              <w:t xml:space="preserve"> t</w:t>
            </w:r>
            <w:r w:rsidRPr="00B55EC4">
              <w:rPr>
                <w:rFonts w:eastAsia="Times New Roman" w:cstheme="minorHAnsi"/>
                <w:lang w:eastAsia="zh-CN"/>
              </w:rPr>
              <w:t xml:space="preserve">he </w:t>
            </w:r>
            <w:r w:rsidR="00B00E39" w:rsidRPr="00B55EC4">
              <w:rPr>
                <w:rFonts w:eastAsia="Times New Roman" w:cstheme="minorHAnsi"/>
                <w:lang w:eastAsia="zh-CN"/>
              </w:rPr>
              <w:t>requirements</w:t>
            </w:r>
            <w:r w:rsidRPr="00B55EC4">
              <w:rPr>
                <w:rFonts w:eastAsia="Times New Roman" w:cstheme="minorHAnsi"/>
                <w:lang w:eastAsia="zh-CN"/>
              </w:rPr>
              <w:t xml:space="preserve"> for </w:t>
            </w:r>
            <w:r w:rsidR="00B00E39" w:rsidRPr="00B55EC4">
              <w:rPr>
                <w:rFonts w:eastAsia="Times New Roman" w:cstheme="minorHAnsi"/>
                <w:lang w:eastAsia="zh-CN"/>
              </w:rPr>
              <w:t>IMT and with those for Wi-Fi.</w:t>
            </w:r>
          </w:p>
          <w:p w14:paraId="2674693B" w14:textId="77777777" w:rsidR="003B3E87" w:rsidRPr="00B55EC4" w:rsidRDefault="003B3E87" w:rsidP="004A1AF3">
            <w:pPr>
              <w:spacing w:after="0" w:line="240" w:lineRule="auto"/>
              <w:jc w:val="both"/>
              <w:rPr>
                <w:rFonts w:eastAsia="Times New Roman" w:cstheme="minorHAnsi"/>
                <w:lang w:val="en-US"/>
              </w:rPr>
            </w:pPr>
          </w:p>
        </w:tc>
      </w:tr>
      <w:tr w:rsidR="004A1AF3" w:rsidRPr="00B55EC4" w14:paraId="6D2D746E" w14:textId="77777777" w:rsidTr="00E4495B">
        <w:trPr>
          <w:trHeight w:val="60"/>
        </w:trPr>
        <w:tc>
          <w:tcPr>
            <w:tcW w:w="9576" w:type="dxa"/>
          </w:tcPr>
          <w:p w14:paraId="20335AC1" w14:textId="77777777" w:rsidR="004A1AF3" w:rsidRPr="00B55EC4" w:rsidRDefault="004A1AF3" w:rsidP="004A1AF3">
            <w:pPr>
              <w:spacing w:after="0" w:line="240" w:lineRule="auto"/>
              <w:rPr>
                <w:rFonts w:eastAsia="Times New Roman" w:cstheme="minorHAnsi"/>
                <w:b/>
                <w:i/>
                <w:color w:val="00B050"/>
                <w:spacing w:val="60"/>
                <w:lang w:val="en-US"/>
              </w:rPr>
            </w:pPr>
            <w:r w:rsidRPr="00B55EC4">
              <w:rPr>
                <w:rFonts w:eastAsia="Times New Roman" w:cstheme="minorHAnsi"/>
                <w:b/>
                <w:i/>
                <w:color w:val="00B050"/>
                <w:spacing w:val="60"/>
                <w:lang w:val="en-US"/>
              </w:rPr>
              <w:lastRenderedPageBreak/>
              <w:t>Part F: Proposed African Common View and/or Position</w:t>
            </w:r>
          </w:p>
        </w:tc>
      </w:tr>
      <w:tr w:rsidR="004A1AF3" w:rsidRPr="00B55EC4" w14:paraId="08E93980" w14:textId="77777777" w:rsidTr="00E4495B">
        <w:trPr>
          <w:trHeight w:val="998"/>
        </w:trPr>
        <w:tc>
          <w:tcPr>
            <w:tcW w:w="9576" w:type="dxa"/>
          </w:tcPr>
          <w:p w14:paraId="2F791B16" w14:textId="77777777" w:rsidR="00F54853" w:rsidRPr="00B55EC4" w:rsidRDefault="00F54853" w:rsidP="00F54853">
            <w:pPr>
              <w:spacing w:after="0"/>
              <w:jc w:val="both"/>
              <w:rPr>
                <w:rFonts w:cs="Calibri"/>
                <w:iCs/>
              </w:rPr>
            </w:pPr>
            <w:r w:rsidRPr="00B55EC4">
              <w:rPr>
                <w:rFonts w:cs="Calibri"/>
                <w:iCs/>
              </w:rPr>
              <w:t xml:space="preserve">For band 3 300 – 3 400 MHz:  </w:t>
            </w:r>
          </w:p>
          <w:p w14:paraId="03D88365" w14:textId="77777777" w:rsidR="00B33116" w:rsidRPr="00B55EC4" w:rsidRDefault="00B33116" w:rsidP="00F54853">
            <w:pPr>
              <w:pStyle w:val="ListParagraph"/>
              <w:numPr>
                <w:ilvl w:val="0"/>
                <w:numId w:val="3"/>
              </w:numPr>
              <w:jc w:val="both"/>
              <w:rPr>
                <w:rFonts w:asciiTheme="minorHAnsi" w:eastAsiaTheme="minorHAnsi" w:hAnsiTheme="minorHAnsi" w:cstheme="minorHAnsi"/>
                <w:lang w:val="en-GB"/>
              </w:rPr>
            </w:pPr>
            <w:r w:rsidRPr="00B55EC4">
              <w:rPr>
                <w:rFonts w:asciiTheme="minorHAnsi" w:eastAsiaTheme="minorHAnsi" w:hAnsiTheme="minorHAnsi" w:cstheme="minorHAnsi"/>
              </w:rPr>
              <w:t>3 300-3 400 MHz</w:t>
            </w:r>
            <w:r w:rsidRPr="00B55EC4">
              <w:rPr>
                <w:rFonts w:asciiTheme="minorHAnsi" w:eastAsiaTheme="minorHAnsi" w:hAnsiTheme="minorHAnsi" w:cstheme="minorHAnsi"/>
                <w:lang w:val="en-GB"/>
              </w:rPr>
              <w:t xml:space="preserve"> - Support removal or relaxation of stringent conditions through amendment of </w:t>
            </w:r>
            <w:r w:rsidRPr="00B55EC4">
              <w:rPr>
                <w:rFonts w:asciiTheme="minorHAnsi" w:eastAsiaTheme="minorHAnsi" w:hAnsiTheme="minorHAnsi" w:cstheme="minorHAnsi"/>
              </w:rPr>
              <w:t xml:space="preserve">footnote </w:t>
            </w:r>
            <w:r w:rsidRPr="00B55EC4">
              <w:rPr>
                <w:rFonts w:asciiTheme="minorHAnsi" w:eastAsiaTheme="minorHAnsi" w:hAnsiTheme="minorHAnsi" w:cstheme="minorHAnsi"/>
                <w:b/>
              </w:rPr>
              <w:t>5.429B</w:t>
            </w:r>
            <w:r w:rsidRPr="00B55EC4">
              <w:rPr>
                <w:rFonts w:asciiTheme="minorHAnsi" w:eastAsiaTheme="minorHAnsi" w:hAnsiTheme="minorHAnsi" w:cstheme="minorHAnsi"/>
                <w:lang w:val="en-GB"/>
              </w:rPr>
              <w:t xml:space="preserve">. </w:t>
            </w:r>
          </w:p>
          <w:p w14:paraId="24E9D56A" w14:textId="1E48D2EE" w:rsidR="00F54853" w:rsidRPr="00B55EC4" w:rsidRDefault="00F54853" w:rsidP="00F54853">
            <w:pPr>
              <w:pStyle w:val="ListParagraph"/>
              <w:numPr>
                <w:ilvl w:val="0"/>
                <w:numId w:val="3"/>
              </w:numPr>
              <w:spacing w:after="0"/>
              <w:jc w:val="both"/>
              <w:rPr>
                <w:rFonts w:cs="Calibri"/>
                <w:iCs/>
              </w:rPr>
            </w:pPr>
            <w:r w:rsidRPr="00B55EC4">
              <w:rPr>
                <w:rFonts w:cs="Calibri"/>
                <w:iCs/>
              </w:rPr>
              <w:t>Encourage African countries not yet listed in footnote 5.429B to consider adding their names to the footnote, in order to achieve harmonization</w:t>
            </w:r>
          </w:p>
          <w:p w14:paraId="553F649B" w14:textId="77777777" w:rsidR="00F54853" w:rsidRPr="00B55EC4" w:rsidRDefault="00F54853" w:rsidP="00F54853">
            <w:pPr>
              <w:spacing w:after="0"/>
              <w:jc w:val="both"/>
              <w:rPr>
                <w:rFonts w:cs="Calibri"/>
                <w:iCs/>
              </w:rPr>
            </w:pPr>
            <w:r w:rsidRPr="00B55EC4">
              <w:rPr>
                <w:rFonts w:cs="Calibri"/>
                <w:iCs/>
              </w:rPr>
              <w:t xml:space="preserve">For band 6 425-7 125 MHz </w:t>
            </w:r>
          </w:p>
          <w:p w14:paraId="24356EAB" w14:textId="0E3012C2" w:rsidR="00A7384A" w:rsidRPr="00B55EC4" w:rsidRDefault="00F54853" w:rsidP="00F54853">
            <w:pPr>
              <w:pStyle w:val="ListParagraph"/>
              <w:numPr>
                <w:ilvl w:val="0"/>
                <w:numId w:val="3"/>
              </w:numPr>
              <w:jc w:val="both"/>
              <w:rPr>
                <w:rFonts w:asciiTheme="minorHAnsi" w:eastAsiaTheme="minorHAnsi" w:hAnsiTheme="minorHAnsi" w:cstheme="minorHAnsi"/>
                <w:lang w:val="en-GB"/>
              </w:rPr>
            </w:pPr>
            <w:r w:rsidRPr="00B55EC4">
              <w:rPr>
                <w:rFonts w:asciiTheme="minorHAnsi" w:eastAsia="Franklin Gothic Book" w:hAnsiTheme="minorHAnsi" w:cstheme="minorHAnsi"/>
                <w:spacing w:val="-3"/>
              </w:rPr>
              <w:t>Support ITU</w:t>
            </w:r>
            <w:r w:rsidR="00BF4327" w:rsidRPr="00B55EC4">
              <w:rPr>
                <w:rFonts w:asciiTheme="minorHAnsi" w:eastAsia="Franklin Gothic Book" w:hAnsiTheme="minorHAnsi" w:cstheme="minorHAnsi"/>
                <w:spacing w:val="-3"/>
              </w:rPr>
              <w:t xml:space="preserve">-R </w:t>
            </w:r>
            <w:r w:rsidR="00BF4327" w:rsidRPr="00B55EC4">
              <w:rPr>
                <w:rFonts w:asciiTheme="minorHAnsi" w:hAnsiTheme="minorHAnsi" w:cstheme="minorHAnsi"/>
                <w:iCs/>
                <w:lang w:val="en-GB"/>
              </w:rPr>
              <w:t>compatibility studies</w:t>
            </w:r>
            <w:r w:rsidR="00BF4327" w:rsidRPr="00B55EC4">
              <w:rPr>
                <w:rFonts w:asciiTheme="minorHAnsi" w:eastAsiaTheme="minorHAnsi" w:hAnsiTheme="minorHAnsi" w:cstheme="minorHAnsi"/>
              </w:rPr>
              <w:t xml:space="preserve"> in the band </w:t>
            </w:r>
            <w:r w:rsidR="00B33116" w:rsidRPr="00B55EC4">
              <w:rPr>
                <w:rFonts w:asciiTheme="minorHAnsi" w:eastAsiaTheme="minorHAnsi" w:hAnsiTheme="minorHAnsi" w:cstheme="minorHAnsi"/>
              </w:rPr>
              <w:t>6 425</w:t>
            </w:r>
            <w:r w:rsidR="00B33116" w:rsidRPr="00B55EC4">
              <w:rPr>
                <w:rFonts w:asciiTheme="minorHAnsi" w:eastAsiaTheme="minorHAnsi" w:hAnsiTheme="minorHAnsi" w:cstheme="minorHAnsi"/>
                <w:lang w:val="en-GB"/>
              </w:rPr>
              <w:t xml:space="preserve"> - </w:t>
            </w:r>
            <w:r w:rsidR="00B33116" w:rsidRPr="00B55EC4">
              <w:rPr>
                <w:rFonts w:asciiTheme="minorHAnsi" w:hAnsiTheme="minorHAnsi" w:cstheme="minorHAnsi"/>
                <w:iCs/>
                <w:lang w:val="en-GB"/>
              </w:rPr>
              <w:t xml:space="preserve">7 125 MHz </w:t>
            </w:r>
            <w:r w:rsidR="00BF4327" w:rsidRPr="00B55EC4">
              <w:rPr>
                <w:rFonts w:asciiTheme="minorHAnsi" w:hAnsiTheme="minorHAnsi" w:cstheme="minorHAnsi"/>
                <w:iCs/>
                <w:lang w:val="en-GB"/>
              </w:rPr>
              <w:t>with a view to examining possible conditions under which co-existence may be possible.</w:t>
            </w:r>
          </w:p>
          <w:p w14:paraId="3DC63CBE" w14:textId="26824688" w:rsidR="00F54853" w:rsidRPr="00B55EC4" w:rsidRDefault="00F54853" w:rsidP="00F54853">
            <w:pPr>
              <w:pStyle w:val="ListParagraph"/>
              <w:numPr>
                <w:ilvl w:val="0"/>
                <w:numId w:val="3"/>
              </w:numPr>
              <w:spacing w:after="0"/>
              <w:jc w:val="both"/>
              <w:rPr>
                <w:rFonts w:cs="Calibri"/>
              </w:rPr>
            </w:pPr>
            <w:r w:rsidRPr="00B55EC4">
              <w:rPr>
                <w:rFonts w:cs="Calibri"/>
                <w:iCs/>
              </w:rPr>
              <w:t>Conduct</w:t>
            </w:r>
            <w:r w:rsidRPr="00B55EC4">
              <w:rPr>
                <w:rFonts w:cs="Calibri"/>
              </w:rPr>
              <w:t xml:space="preserve"> a survey among </w:t>
            </w:r>
            <w:r w:rsidRPr="00B55EC4">
              <w:rPr>
                <w:rFonts w:cs="Calibri"/>
              </w:rPr>
              <w:t>EACO</w:t>
            </w:r>
            <w:r w:rsidRPr="00B55EC4">
              <w:rPr>
                <w:rFonts w:cs="Calibri"/>
              </w:rPr>
              <w:t xml:space="preserve"> Member States to identify services deployed at national level in the 6 425 – 7 125 MHz, with a view to protect existing services.</w:t>
            </w:r>
          </w:p>
          <w:p w14:paraId="1CF54874" w14:textId="0996A38E" w:rsidR="004A1AF3" w:rsidRPr="00B55EC4" w:rsidRDefault="00BF4327" w:rsidP="00F54853">
            <w:pPr>
              <w:pStyle w:val="ListParagraph"/>
              <w:numPr>
                <w:ilvl w:val="0"/>
                <w:numId w:val="3"/>
              </w:numPr>
              <w:jc w:val="both"/>
              <w:rPr>
                <w:rFonts w:eastAsia="Times New Roman" w:cstheme="minorHAnsi"/>
              </w:rPr>
            </w:pPr>
            <w:r w:rsidRPr="00B55EC4">
              <w:rPr>
                <w:rFonts w:asciiTheme="minorHAnsi" w:hAnsiTheme="minorHAnsi" w:cstheme="minorHAnsi"/>
              </w:rPr>
              <w:t>Subject to the result of the coexistence studies in ITU-R</w:t>
            </w:r>
            <w:r w:rsidR="00B00E39" w:rsidRPr="00B55EC4">
              <w:rPr>
                <w:rFonts w:asciiTheme="minorHAnsi" w:hAnsiTheme="minorHAnsi" w:cstheme="minorHAnsi"/>
              </w:rPr>
              <w:t>,</w:t>
            </w:r>
            <w:r w:rsidRPr="00B55EC4">
              <w:rPr>
                <w:rFonts w:asciiTheme="minorHAnsi" w:hAnsiTheme="minorHAnsi" w:cstheme="minorHAnsi"/>
              </w:rPr>
              <w:t xml:space="preserve"> it may be possible</w:t>
            </w:r>
            <w:r w:rsidR="004D27B9" w:rsidRPr="00B55EC4">
              <w:rPr>
                <w:rFonts w:asciiTheme="minorHAnsi" w:hAnsiTheme="minorHAnsi" w:cstheme="minorHAnsi"/>
              </w:rPr>
              <w:t xml:space="preserve"> to support IMT identification in the 6425-7125 </w:t>
            </w:r>
            <w:proofErr w:type="spellStart"/>
            <w:r w:rsidR="004D27B9" w:rsidRPr="00B55EC4">
              <w:rPr>
                <w:rFonts w:asciiTheme="minorHAnsi" w:hAnsiTheme="minorHAnsi" w:cstheme="minorHAnsi"/>
              </w:rPr>
              <w:t>MHz</w:t>
            </w:r>
            <w:r w:rsidRPr="00B55EC4">
              <w:rPr>
                <w:rFonts w:asciiTheme="minorHAnsi" w:hAnsiTheme="minorHAnsi" w:cstheme="minorHAnsi"/>
              </w:rPr>
              <w:t>.</w:t>
            </w:r>
            <w:proofErr w:type="spellEnd"/>
          </w:p>
        </w:tc>
      </w:tr>
      <w:tr w:rsidR="004A1AF3" w:rsidRPr="00B55EC4" w14:paraId="6534D3F1" w14:textId="77777777" w:rsidTr="00E4495B">
        <w:trPr>
          <w:trHeight w:val="60"/>
        </w:trPr>
        <w:tc>
          <w:tcPr>
            <w:tcW w:w="9576" w:type="dxa"/>
          </w:tcPr>
          <w:p w14:paraId="764F8F2E" w14:textId="77777777" w:rsidR="004A1AF3" w:rsidRPr="00B55EC4" w:rsidRDefault="004A1AF3" w:rsidP="004A1AF3">
            <w:pPr>
              <w:spacing w:after="0" w:line="240" w:lineRule="auto"/>
              <w:rPr>
                <w:rFonts w:eastAsia="Times New Roman" w:cstheme="minorHAnsi"/>
                <w:i/>
                <w:color w:val="00B050"/>
                <w:lang w:val="en-US"/>
              </w:rPr>
            </w:pPr>
            <w:r w:rsidRPr="00B55EC4">
              <w:rPr>
                <w:rFonts w:eastAsia="Times New Roman" w:cstheme="minorHAnsi"/>
                <w:b/>
                <w:i/>
                <w:color w:val="00B050"/>
                <w:spacing w:val="60"/>
                <w:lang w:val="en-US"/>
              </w:rPr>
              <w:t>Part G: Recommendations and Way Forward</w:t>
            </w:r>
          </w:p>
        </w:tc>
      </w:tr>
      <w:tr w:rsidR="004A1AF3" w:rsidRPr="00B55EC4" w14:paraId="34827C35" w14:textId="77777777" w:rsidTr="00E4495B">
        <w:trPr>
          <w:trHeight w:val="1268"/>
        </w:trPr>
        <w:tc>
          <w:tcPr>
            <w:tcW w:w="9576" w:type="dxa"/>
          </w:tcPr>
          <w:p w14:paraId="36B3A4AF" w14:textId="77777777" w:rsidR="00BF4327" w:rsidRPr="00B55EC4" w:rsidRDefault="003C1FC9" w:rsidP="00733A03">
            <w:pPr>
              <w:pStyle w:val="ListParagraph"/>
              <w:numPr>
                <w:ilvl w:val="0"/>
                <w:numId w:val="9"/>
              </w:numPr>
              <w:spacing w:after="0"/>
              <w:ind w:left="426" w:hanging="284"/>
              <w:jc w:val="both"/>
              <w:rPr>
                <w:rFonts w:cs="Calibri"/>
                <w:iCs/>
              </w:rPr>
            </w:pPr>
            <w:r w:rsidRPr="00B55EC4">
              <w:rPr>
                <w:rFonts w:cs="Calibri"/>
                <w:iCs/>
              </w:rPr>
              <w:t xml:space="preserve">EACO </w:t>
            </w:r>
            <w:r w:rsidR="00BF4327" w:rsidRPr="00B55EC4">
              <w:rPr>
                <w:rFonts w:cs="Calibri"/>
                <w:iCs/>
              </w:rPr>
              <w:t>members to undertake study to determine the extent of usage of the spectrum in the 6 425 - 7 125 MHz and thereafter conduct technical study.</w:t>
            </w:r>
          </w:p>
          <w:p w14:paraId="4B9C6E08" w14:textId="6BD0CD23" w:rsidR="00733A03" w:rsidRPr="00B55EC4" w:rsidRDefault="00733A03" w:rsidP="00733A03">
            <w:pPr>
              <w:pStyle w:val="ListParagraph"/>
              <w:numPr>
                <w:ilvl w:val="0"/>
                <w:numId w:val="9"/>
              </w:numPr>
              <w:spacing w:after="0"/>
              <w:ind w:left="426" w:hanging="284"/>
              <w:jc w:val="both"/>
              <w:rPr>
                <w:rFonts w:cs="Calibri"/>
                <w:iCs/>
              </w:rPr>
            </w:pPr>
            <w:r w:rsidRPr="00B55EC4">
              <w:rPr>
                <w:rFonts w:cs="Calibri"/>
                <w:iCs/>
              </w:rPr>
              <w:t xml:space="preserve">It is recommended that </w:t>
            </w:r>
            <w:r w:rsidRPr="00B55EC4">
              <w:rPr>
                <w:rFonts w:cs="Calibri"/>
                <w:iCs/>
              </w:rPr>
              <w:t>EACO</w:t>
            </w:r>
            <w:r w:rsidRPr="00B55EC4">
              <w:rPr>
                <w:rFonts w:cs="Calibri"/>
                <w:iCs/>
              </w:rPr>
              <w:t xml:space="preserve"> secretariat circulate the questionnaire for the survey among Member States about the services in use, at national level, in the frequency band 6 425-7 125 MHz</w:t>
            </w:r>
          </w:p>
          <w:p w14:paraId="2E69DEF1" w14:textId="77777777" w:rsidR="00733A03" w:rsidRPr="00B55EC4" w:rsidRDefault="00733A03" w:rsidP="00733A03">
            <w:pPr>
              <w:pStyle w:val="ListParagraph"/>
              <w:numPr>
                <w:ilvl w:val="0"/>
                <w:numId w:val="9"/>
              </w:numPr>
              <w:spacing w:after="0"/>
              <w:ind w:left="426" w:hanging="284"/>
              <w:jc w:val="both"/>
              <w:rPr>
                <w:rFonts w:cs="Calibri"/>
                <w:iCs/>
              </w:rPr>
            </w:pPr>
            <w:r w:rsidRPr="00B55EC4">
              <w:rPr>
                <w:rFonts w:cs="Calibri"/>
                <w:iCs/>
              </w:rPr>
              <w:t xml:space="preserve">It is recommended to task WG 1A to review and analyse the results of the survey, coordinate and organize the development and follow up of common contributions to the work of ITU-R WP 5D, liaise appropriately with the different stakeholders to promote and advance the views of the </w:t>
            </w:r>
            <w:r w:rsidRPr="00B55EC4">
              <w:rPr>
                <w:rFonts w:cs="Calibri"/>
                <w:iCs/>
              </w:rPr>
              <w:t>EACO</w:t>
            </w:r>
            <w:r w:rsidRPr="00B55EC4">
              <w:rPr>
                <w:rFonts w:cs="Calibri"/>
                <w:iCs/>
              </w:rPr>
              <w:t xml:space="preserve"> members.</w:t>
            </w:r>
            <w:r w:rsidRPr="00B55EC4">
              <w:rPr>
                <w:rFonts w:cs="Calibri"/>
                <w:iCs/>
              </w:rPr>
              <w:t xml:space="preserve"> </w:t>
            </w:r>
          </w:p>
          <w:p w14:paraId="24C1A923" w14:textId="23ACB586" w:rsidR="00733A03" w:rsidRPr="00B55EC4" w:rsidRDefault="00733A03" w:rsidP="00733A03">
            <w:pPr>
              <w:pStyle w:val="ListParagraph"/>
              <w:numPr>
                <w:ilvl w:val="0"/>
                <w:numId w:val="9"/>
              </w:numPr>
              <w:spacing w:after="0"/>
              <w:ind w:left="426" w:hanging="284"/>
              <w:jc w:val="both"/>
              <w:rPr>
                <w:rFonts w:cstheme="minorHAnsi"/>
              </w:rPr>
            </w:pPr>
            <w:r w:rsidRPr="00B55EC4">
              <w:rPr>
                <w:rFonts w:cs="Calibri"/>
                <w:iCs/>
              </w:rPr>
              <w:t>EACO Administrations are encouraged to participate and follow the ITU-R studies closely to satisfy the agenda item.</w:t>
            </w:r>
            <w:r w:rsidRPr="00B55EC4">
              <w:rPr>
                <w:rFonts w:cstheme="minorHAnsi"/>
              </w:rPr>
              <w:t xml:space="preserve"> </w:t>
            </w:r>
          </w:p>
        </w:tc>
      </w:tr>
    </w:tbl>
    <w:p w14:paraId="0CE3C497" w14:textId="7D0DF3B0" w:rsidR="004A1AF3" w:rsidRPr="00B55EC4" w:rsidRDefault="004A1AF3" w:rsidP="004A1AF3">
      <w:pPr>
        <w:spacing w:after="200" w:line="276" w:lineRule="auto"/>
        <w:rPr>
          <w:rFonts w:eastAsia="Times New Roman" w:cstheme="minorHAnsi"/>
          <w:lang w:val="en-US"/>
        </w:rPr>
      </w:pPr>
    </w:p>
    <w:p w14:paraId="1B4A9981" w14:textId="1F09EF65" w:rsidR="00FD7387" w:rsidRPr="00B55EC4" w:rsidRDefault="00FD7387" w:rsidP="00FD7387">
      <w:pPr>
        <w:tabs>
          <w:tab w:val="left" w:pos="3852"/>
        </w:tabs>
        <w:rPr>
          <w:rFonts w:eastAsia="Times New Roman" w:cstheme="minorHAnsi"/>
          <w:lang w:val="en-US"/>
        </w:rPr>
      </w:pPr>
      <w:r w:rsidRPr="00B55EC4">
        <w:rPr>
          <w:rFonts w:eastAsia="Times New Roman" w:cstheme="minorHAnsi"/>
          <w:lang w:val="en-US"/>
        </w:rPr>
        <w:tab/>
      </w:r>
      <w:bookmarkStart w:id="3" w:name="_MON_1690384275"/>
      <w:bookmarkEnd w:id="3"/>
      <w:r w:rsidR="00B55EC4" w:rsidRPr="00B55EC4">
        <w:rPr>
          <w:rFonts w:eastAsia="Times New Roman" w:cstheme="minorHAnsi"/>
          <w:lang w:val="en-US"/>
        </w:rPr>
        <w:object w:dxaOrig="1520" w:dyaOrig="987" w14:anchorId="5B31B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2pt" o:ole="">
            <v:imagedata r:id="rId10" o:title=""/>
          </v:shape>
          <o:OLEObject Type="Embed" ProgID="Word.Document.12" ShapeID="_x0000_i1027" DrawAspect="Icon" ObjectID="_1690384513" r:id="rId11">
            <o:FieldCodes>\s</o:FieldCodes>
          </o:OLEObject>
        </w:object>
      </w:r>
    </w:p>
    <w:sectPr w:rsidR="00FD7387" w:rsidRPr="00B55EC4" w:rsidSect="00E4495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C0DA" w14:textId="77777777" w:rsidR="00121D66" w:rsidRDefault="00121D66">
      <w:pPr>
        <w:spacing w:after="0" w:line="240" w:lineRule="auto"/>
      </w:pPr>
      <w:r>
        <w:separator/>
      </w:r>
    </w:p>
  </w:endnote>
  <w:endnote w:type="continuationSeparator" w:id="0">
    <w:p w14:paraId="6DE94446" w14:textId="77777777" w:rsidR="00121D66" w:rsidRDefault="0012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auto"/>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E295" w14:textId="77777777" w:rsidR="00381698" w:rsidRDefault="00381698">
    <w:pPr>
      <w:pStyle w:val="Footer"/>
      <w:jc w:val="center"/>
    </w:pPr>
    <w:r>
      <w:t xml:space="preserve">Page </w:t>
    </w:r>
    <w:r>
      <w:rPr>
        <w:b/>
      </w:rPr>
      <w:fldChar w:fldCharType="begin"/>
    </w:r>
    <w:r>
      <w:rPr>
        <w:b/>
      </w:rPr>
      <w:instrText xml:space="preserve"> PAGE </w:instrText>
    </w:r>
    <w:r>
      <w:rPr>
        <w:b/>
      </w:rPr>
      <w:fldChar w:fldCharType="separate"/>
    </w:r>
    <w:r w:rsidR="00B66DDA">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B66DDA">
      <w:rPr>
        <w:b/>
        <w:noProof/>
      </w:rPr>
      <w:t>4</w:t>
    </w:r>
    <w:r>
      <w:rPr>
        <w:b/>
      </w:rPr>
      <w:fldChar w:fldCharType="end"/>
    </w:r>
  </w:p>
  <w:p w14:paraId="7EBB61AA" w14:textId="77777777" w:rsidR="00381698" w:rsidRDefault="00381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92D3" w14:textId="77777777" w:rsidR="00121D66" w:rsidRDefault="00121D66">
      <w:pPr>
        <w:spacing w:after="0" w:line="240" w:lineRule="auto"/>
      </w:pPr>
      <w:r>
        <w:separator/>
      </w:r>
    </w:p>
  </w:footnote>
  <w:footnote w:type="continuationSeparator" w:id="0">
    <w:p w14:paraId="78A2CF45" w14:textId="77777777" w:rsidR="00121D66" w:rsidRDefault="0012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211F2"/>
    <w:multiLevelType w:val="hybridMultilevel"/>
    <w:tmpl w:val="65189EE4"/>
    <w:lvl w:ilvl="0" w:tplc="2000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92D67BA"/>
    <w:multiLevelType w:val="hybridMultilevel"/>
    <w:tmpl w:val="3006BF5A"/>
    <w:lvl w:ilvl="0" w:tplc="2000000F">
      <w:start w:val="1"/>
      <w:numFmt w:val="decimal"/>
      <w:lvlText w:val="%1."/>
      <w:lvlJc w:val="left"/>
      <w:pPr>
        <w:ind w:left="720" w:hanging="360"/>
      </w:pPr>
      <w:rPr>
        <w:rFonts w:hint="default"/>
      </w:rPr>
    </w:lvl>
    <w:lvl w:ilvl="1" w:tplc="58C87EF2">
      <w:numFmt w:val="bullet"/>
      <w:lvlText w:val="–"/>
      <w:lvlJc w:val="left"/>
      <w:pPr>
        <w:ind w:left="1440" w:hanging="360"/>
      </w:pPr>
      <w:rPr>
        <w:rFonts w:ascii="Times New Roman" w:eastAsiaTheme="minorHAnsi" w:hAnsi="Times New Roman" w:cs="Times New Roman"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9274EA8"/>
    <w:multiLevelType w:val="hybridMultilevel"/>
    <w:tmpl w:val="8D64A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3063E2"/>
    <w:multiLevelType w:val="hybridMultilevel"/>
    <w:tmpl w:val="60E2363A"/>
    <w:lvl w:ilvl="0" w:tplc="1C09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2B16CE7"/>
    <w:multiLevelType w:val="hybridMultilevel"/>
    <w:tmpl w:val="32A2C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8586B"/>
    <w:multiLevelType w:val="hybridMultilevel"/>
    <w:tmpl w:val="85FCBC38"/>
    <w:lvl w:ilvl="0" w:tplc="565A2980">
      <w:start w:val="10"/>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093CF7"/>
    <w:multiLevelType w:val="multilevel"/>
    <w:tmpl w:val="EE105FD2"/>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9660DC"/>
    <w:multiLevelType w:val="hybridMultilevel"/>
    <w:tmpl w:val="639E0926"/>
    <w:lvl w:ilvl="0" w:tplc="08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D9A5DE5"/>
    <w:multiLevelType w:val="hybridMultilevel"/>
    <w:tmpl w:val="CF3E01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0"/>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F3"/>
    <w:rsid w:val="0002179E"/>
    <w:rsid w:val="000C3733"/>
    <w:rsid w:val="000D502C"/>
    <w:rsid w:val="00121D66"/>
    <w:rsid w:val="00237A9A"/>
    <w:rsid w:val="00381698"/>
    <w:rsid w:val="003B3E87"/>
    <w:rsid w:val="003C1FC9"/>
    <w:rsid w:val="00477E45"/>
    <w:rsid w:val="004A1AF3"/>
    <w:rsid w:val="004A431B"/>
    <w:rsid w:val="004D27B9"/>
    <w:rsid w:val="00615D52"/>
    <w:rsid w:val="007153FD"/>
    <w:rsid w:val="007217EF"/>
    <w:rsid w:val="00733A03"/>
    <w:rsid w:val="0082317B"/>
    <w:rsid w:val="008B3E6B"/>
    <w:rsid w:val="0096729D"/>
    <w:rsid w:val="00A11F1F"/>
    <w:rsid w:val="00A17D57"/>
    <w:rsid w:val="00A3426E"/>
    <w:rsid w:val="00A7384A"/>
    <w:rsid w:val="00A74CEF"/>
    <w:rsid w:val="00AA2F1A"/>
    <w:rsid w:val="00AA4E08"/>
    <w:rsid w:val="00AD057D"/>
    <w:rsid w:val="00B00E39"/>
    <w:rsid w:val="00B33116"/>
    <w:rsid w:val="00B55EC4"/>
    <w:rsid w:val="00B66DDA"/>
    <w:rsid w:val="00BF4327"/>
    <w:rsid w:val="00C455DA"/>
    <w:rsid w:val="00C950B9"/>
    <w:rsid w:val="00D3314F"/>
    <w:rsid w:val="00D34BB3"/>
    <w:rsid w:val="00D64202"/>
    <w:rsid w:val="00D76438"/>
    <w:rsid w:val="00E4495B"/>
    <w:rsid w:val="00E71F80"/>
    <w:rsid w:val="00ED2BAF"/>
    <w:rsid w:val="00F16026"/>
    <w:rsid w:val="00F54853"/>
    <w:rsid w:val="00F83EDB"/>
    <w:rsid w:val="00FD7387"/>
    <w:rsid w:val="00FE09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151E7"/>
  <w15:docId w15:val="{429A317C-F786-4A50-9649-AD78680E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AF3"/>
    <w:pPr>
      <w:keepNext/>
      <w:keepLines/>
      <w:spacing w:before="480" w:after="0" w:line="240" w:lineRule="auto"/>
      <w:outlineLvl w:val="0"/>
    </w:pPr>
    <w:rPr>
      <w:rFonts w:ascii="Cambria" w:eastAsia="Times New Roman" w:hAnsi="Cambria" w:cs="Times New Roman"/>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AF3"/>
    <w:rPr>
      <w:rFonts w:ascii="Cambria" w:eastAsia="Times New Roman" w:hAnsi="Cambria" w:cs="Times New Roman"/>
      <w:b/>
      <w:bCs/>
      <w:color w:val="365F91"/>
      <w:sz w:val="28"/>
      <w:szCs w:val="28"/>
      <w:lang w:val="en-US"/>
    </w:rPr>
  </w:style>
  <w:style w:type="paragraph" w:styleId="Header">
    <w:name w:val="header"/>
    <w:basedOn w:val="Normal"/>
    <w:link w:val="HeaderChar"/>
    <w:uiPriority w:val="99"/>
    <w:rsid w:val="004A1AF3"/>
    <w:pPr>
      <w:tabs>
        <w:tab w:val="center" w:pos="4153"/>
        <w:tab w:val="right" w:pos="8306"/>
      </w:tabs>
      <w:spacing w:after="0" w:line="240" w:lineRule="auto"/>
    </w:pPr>
    <w:rPr>
      <w:rFonts w:ascii="Times New Roman" w:eastAsia="MS Mincho" w:hAnsi="Times New Roman" w:cs="Times New Roman"/>
      <w:sz w:val="20"/>
      <w:szCs w:val="20"/>
      <w:lang w:val="en-US" w:eastAsia="en-GB"/>
    </w:rPr>
  </w:style>
  <w:style w:type="character" w:customStyle="1" w:styleId="HeaderChar">
    <w:name w:val="Header Char"/>
    <w:basedOn w:val="DefaultParagraphFont"/>
    <w:link w:val="Header"/>
    <w:uiPriority w:val="99"/>
    <w:rsid w:val="004A1AF3"/>
    <w:rPr>
      <w:rFonts w:ascii="Times New Roman" w:eastAsia="MS Mincho" w:hAnsi="Times New Roman" w:cs="Times New Roman"/>
      <w:sz w:val="20"/>
      <w:szCs w:val="20"/>
      <w:lang w:val="en-US" w:eastAsia="en-GB"/>
    </w:rPr>
  </w:style>
  <w:style w:type="paragraph" w:styleId="Footer">
    <w:name w:val="footer"/>
    <w:basedOn w:val="Normal"/>
    <w:link w:val="FooterChar"/>
    <w:uiPriority w:val="99"/>
    <w:unhideWhenUsed/>
    <w:rsid w:val="004A1AF3"/>
    <w:pPr>
      <w:tabs>
        <w:tab w:val="center" w:pos="4513"/>
        <w:tab w:val="right" w:pos="9026"/>
      </w:tabs>
      <w:spacing w:after="200" w:line="276"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4A1AF3"/>
    <w:rPr>
      <w:rFonts w:ascii="Calibri" w:eastAsia="Times New Roman" w:hAnsi="Calibri" w:cs="Times New Roman"/>
      <w:lang w:val="en-US"/>
    </w:rPr>
  </w:style>
  <w:style w:type="paragraph" w:styleId="ListParagraph">
    <w:name w:val="List Paragraph"/>
    <w:basedOn w:val="Normal"/>
    <w:uiPriority w:val="34"/>
    <w:qFormat/>
    <w:rsid w:val="004A1AF3"/>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F83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P-S.2367/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docdb.cept.org/download/cc03c766-35f8/ECC%20Report%203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Gababo</dc:creator>
  <cp:keywords/>
  <dc:description/>
  <cp:lastModifiedBy>Gababo</cp:lastModifiedBy>
  <cp:revision>4</cp:revision>
  <dcterms:created xsi:type="dcterms:W3CDTF">2021-08-13T15:23:00Z</dcterms:created>
  <dcterms:modified xsi:type="dcterms:W3CDTF">2021-08-13T15:28:00Z</dcterms:modified>
</cp:coreProperties>
</file>